
<file path=[Content_Types].xml><?xml version="1.0" encoding="utf-8"?>
<Types xmlns="http://schemas.openxmlformats.org/package/2006/content-types">
  <Default Extension="png" ContentType="image/png"/>
  <Default Extension="rels" ContentType="application/vnd.openxmlformats-package.relationships+xml"/>
  <Default Extension="xlsx" ContentType="application/vnd.openxmlformats-officedocument.spreadsheetml.sheet"/>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theme/themeOverride1.xml" ContentType="application/vnd.openxmlformats-officedocument.themeOverride+xml"/>
  <Override PartName="/word/drawings/drawing1.xml" ContentType="application/vnd.openxmlformats-officedocument.drawingml.chartshapes+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theme/themeOverride2.xml" ContentType="application/vnd.openxmlformats-officedocument.themeOverride+xml"/>
  <Override PartName="/word/drawings/drawing2.xml" ContentType="application/vnd.openxmlformats-officedocument.drawingml.chartshapes+xml"/>
  <Override PartName="/word/charts/chart3.xml" ContentType="application/vnd.openxmlformats-officedocument.drawingml.chart+xml"/>
  <Override PartName="/word/charts/style3.xml" ContentType="application/vnd.ms-office.chartstyle+xml"/>
  <Override PartName="/word/charts/colors3.xml" ContentType="application/vnd.ms-office.chartcolorstyle+xml"/>
  <Override PartName="/word/drawings/drawing3.xml" ContentType="application/vnd.openxmlformats-officedocument.drawingml.chartshapes+xml"/>
  <Override PartName="/word/charts/chart4.xml" ContentType="application/vnd.openxmlformats-officedocument.drawingml.chart+xml"/>
  <Override PartName="/word/charts/style4.xml" ContentType="application/vnd.ms-office.chartstyle+xml"/>
  <Override PartName="/word/charts/colors4.xml" ContentType="application/vnd.ms-office.chartcolorstyle+xml"/>
  <Override PartName="/word/theme/themeOverride3.xml" ContentType="application/vnd.openxmlformats-officedocument.themeOverride+xml"/>
  <Override PartName="/word/drawings/drawing4.xml" ContentType="application/vnd.openxmlformats-officedocument.drawingml.chartshapes+xml"/>
  <Override PartName="/word/charts/chart5.xml" ContentType="application/vnd.openxmlformats-officedocument.drawingml.chart+xml"/>
  <Override PartName="/word/charts/style5.xml" ContentType="application/vnd.ms-office.chartstyle+xml"/>
  <Override PartName="/word/charts/colors5.xml" ContentType="application/vnd.ms-office.chartcolorstyle+xml"/>
  <Override PartName="/word/drawings/drawing5.xml" ContentType="application/vnd.openxmlformats-officedocument.drawingml.chartshapes+xml"/>
  <Override PartName="/word/charts/chart6.xml" ContentType="application/vnd.openxmlformats-officedocument.drawingml.chart+xml"/>
  <Override PartName="/word/charts/style6.xml" ContentType="application/vnd.ms-office.chartstyle+xml"/>
  <Override PartName="/word/charts/colors6.xml" ContentType="application/vnd.ms-office.chartcolorstyle+xml"/>
  <Override PartName="/word/charts/chart7.xml" ContentType="application/vnd.openxmlformats-officedocument.drawingml.chart+xml"/>
  <Override PartName="/word/charts/style7.xml" ContentType="application/vnd.ms-office.chartstyle+xml"/>
  <Override PartName="/word/charts/colors7.xml" ContentType="application/vnd.ms-office.chartcolorstyle+xml"/>
  <Override PartName="/word/drawings/drawing6.xml" ContentType="application/vnd.openxmlformats-officedocument.drawingml.chartshapes+xml"/>
  <Override PartName="/word/charts/chart8.xml" ContentType="application/vnd.openxmlformats-officedocument.drawingml.chart+xml"/>
  <Override PartName="/word/charts/style8.xml" ContentType="application/vnd.ms-office.chartstyle+xml"/>
  <Override PartName="/word/charts/colors8.xml" ContentType="application/vnd.ms-office.chartcolorstyle+xml"/>
  <Override PartName="/word/charts/chart9.xml" ContentType="application/vnd.openxmlformats-officedocument.drawingml.chart+xml"/>
  <Override PartName="/word/charts/style9.xml" ContentType="application/vnd.ms-office.chartstyle+xml"/>
  <Override PartName="/word/charts/colors9.xml" ContentType="application/vnd.ms-office.chartcolorstyle+xml"/>
  <Override PartName="/word/charts/chart10.xml" ContentType="application/vnd.openxmlformats-officedocument.drawingml.chart+xml"/>
  <Override PartName="/word/charts/style10.xml" ContentType="application/vnd.ms-office.chartstyle+xml"/>
  <Override PartName="/word/charts/colors10.xml" ContentType="application/vnd.ms-office.chartcolorstyle+xml"/>
  <Override PartName="/word/charts/chart11.xml" ContentType="application/vnd.openxmlformats-officedocument.drawingml.chart+xml"/>
  <Override PartName="/word/charts/style11.xml" ContentType="application/vnd.ms-office.chartstyle+xml"/>
  <Override PartName="/word/charts/colors11.xml" ContentType="application/vnd.ms-office.chartcolorstyle+xml"/>
  <Override PartName="/word/drawings/drawing7.xml" ContentType="application/vnd.openxmlformats-officedocument.drawingml.chartshap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A13A621" w14:textId="3C1D163D" w:rsidR="00CF2051" w:rsidRPr="00AB5EA7" w:rsidRDefault="00650DEF" w:rsidP="00A518D2">
      <w:pPr>
        <w:jc w:val="center"/>
        <w:rPr>
          <w:rFonts w:asciiTheme="majorHAnsi" w:hAnsiTheme="majorHAnsi" w:cstheme="majorHAnsi"/>
          <w:b/>
          <w:bCs/>
          <w:sz w:val="24"/>
          <w:szCs w:val="24"/>
        </w:rPr>
      </w:pPr>
      <w:r w:rsidRPr="00AB5EA7">
        <w:rPr>
          <w:rFonts w:asciiTheme="majorHAnsi" w:hAnsiTheme="majorHAnsi" w:cstheme="majorHAnsi"/>
          <w:b/>
          <w:bCs/>
          <w:sz w:val="24"/>
          <w:szCs w:val="24"/>
        </w:rPr>
        <w:t>ESTADÍSTI</w:t>
      </w:r>
      <w:r w:rsidR="009D38ED" w:rsidRPr="00AB5EA7">
        <w:rPr>
          <w:rFonts w:asciiTheme="majorHAnsi" w:hAnsiTheme="majorHAnsi" w:cstheme="majorHAnsi"/>
          <w:b/>
          <w:bCs/>
          <w:sz w:val="24"/>
          <w:szCs w:val="24"/>
        </w:rPr>
        <w:t>CA</w:t>
      </w:r>
      <w:r w:rsidRPr="00AB5EA7">
        <w:rPr>
          <w:rFonts w:asciiTheme="majorHAnsi" w:hAnsiTheme="majorHAnsi" w:cstheme="majorHAnsi"/>
          <w:b/>
          <w:bCs/>
          <w:sz w:val="24"/>
          <w:szCs w:val="24"/>
        </w:rPr>
        <w:t>S 2024</w:t>
      </w:r>
    </w:p>
    <w:p w14:paraId="438629D5" w14:textId="288B6F63" w:rsidR="00753F5D" w:rsidRPr="00AB5EA7" w:rsidRDefault="00753F5D" w:rsidP="00114D29">
      <w:pPr>
        <w:rPr>
          <w:rFonts w:asciiTheme="majorHAnsi" w:hAnsiTheme="majorHAnsi" w:cstheme="majorHAnsi"/>
        </w:rPr>
      </w:pPr>
    </w:p>
    <w:p w14:paraId="0EB35B56" w14:textId="77777777" w:rsidR="005A6A36" w:rsidRPr="00AB5EA7" w:rsidRDefault="005A6A36" w:rsidP="00114D29">
      <w:pPr>
        <w:rPr>
          <w:rFonts w:asciiTheme="majorHAnsi" w:hAnsiTheme="majorHAnsi" w:cstheme="majorHAnsi"/>
          <w:sz w:val="18"/>
          <w:szCs w:val="18"/>
        </w:rPr>
      </w:pPr>
    </w:p>
    <w:p w14:paraId="4D370BFE" w14:textId="6981402A" w:rsidR="00114D29" w:rsidRPr="00220170" w:rsidRDefault="00753F5D" w:rsidP="001566F7">
      <w:pPr>
        <w:spacing w:line="240" w:lineRule="auto"/>
        <w:jc w:val="center"/>
        <w:rPr>
          <w:rFonts w:asciiTheme="majorHAnsi" w:hAnsiTheme="majorHAnsi" w:cstheme="majorHAnsi"/>
          <w:sz w:val="28"/>
          <w:szCs w:val="28"/>
        </w:rPr>
      </w:pPr>
      <w:r w:rsidRPr="00220170">
        <w:rPr>
          <w:rFonts w:asciiTheme="majorHAnsi" w:hAnsiTheme="majorHAnsi" w:cstheme="majorHAnsi"/>
          <w:sz w:val="28"/>
          <w:szCs w:val="28"/>
        </w:rPr>
        <w:t>Durant</w:t>
      </w:r>
      <w:r w:rsidR="009D38ED" w:rsidRPr="00220170">
        <w:rPr>
          <w:rFonts w:asciiTheme="majorHAnsi" w:hAnsiTheme="majorHAnsi" w:cstheme="majorHAnsi"/>
          <w:sz w:val="28"/>
          <w:szCs w:val="28"/>
        </w:rPr>
        <w:t>e el año</w:t>
      </w:r>
      <w:r w:rsidRPr="00220170">
        <w:rPr>
          <w:rFonts w:asciiTheme="majorHAnsi" w:hAnsiTheme="majorHAnsi" w:cstheme="majorHAnsi"/>
          <w:sz w:val="28"/>
          <w:szCs w:val="28"/>
        </w:rPr>
        <w:t xml:space="preserve"> 2024 s</w:t>
      </w:r>
      <w:r w:rsidR="009D38ED" w:rsidRPr="00220170">
        <w:rPr>
          <w:rFonts w:asciiTheme="majorHAnsi" w:hAnsiTheme="majorHAnsi" w:cstheme="majorHAnsi"/>
          <w:sz w:val="28"/>
          <w:szCs w:val="28"/>
        </w:rPr>
        <w:t xml:space="preserve">e </w:t>
      </w:r>
      <w:r w:rsidRPr="00220170">
        <w:rPr>
          <w:rFonts w:asciiTheme="majorHAnsi" w:hAnsiTheme="majorHAnsi" w:cstheme="majorHAnsi"/>
          <w:sz w:val="28"/>
          <w:szCs w:val="28"/>
        </w:rPr>
        <w:t>han administra</w:t>
      </w:r>
      <w:r w:rsidR="009D38ED" w:rsidRPr="00220170">
        <w:rPr>
          <w:rFonts w:asciiTheme="majorHAnsi" w:hAnsiTheme="majorHAnsi" w:cstheme="majorHAnsi"/>
          <w:sz w:val="28"/>
          <w:szCs w:val="28"/>
        </w:rPr>
        <w:t>do</w:t>
      </w:r>
      <w:r w:rsidRPr="00220170">
        <w:rPr>
          <w:rFonts w:asciiTheme="majorHAnsi" w:hAnsiTheme="majorHAnsi" w:cstheme="majorHAnsi"/>
          <w:sz w:val="28"/>
          <w:szCs w:val="28"/>
        </w:rPr>
        <w:t xml:space="preserve"> </w:t>
      </w:r>
      <w:r w:rsidRPr="00220170">
        <w:rPr>
          <w:rFonts w:asciiTheme="majorHAnsi" w:hAnsiTheme="majorHAnsi" w:cstheme="majorHAnsi"/>
          <w:b/>
          <w:bCs/>
          <w:sz w:val="28"/>
          <w:szCs w:val="28"/>
        </w:rPr>
        <w:t>73</w:t>
      </w:r>
      <w:r w:rsidRPr="00220170">
        <w:rPr>
          <w:rFonts w:asciiTheme="majorHAnsi" w:hAnsiTheme="majorHAnsi" w:cstheme="majorHAnsi"/>
          <w:sz w:val="28"/>
          <w:szCs w:val="28"/>
        </w:rPr>
        <w:t xml:space="preserve"> expedient</w:t>
      </w:r>
      <w:r w:rsidR="009D38ED" w:rsidRPr="00220170">
        <w:rPr>
          <w:rFonts w:asciiTheme="majorHAnsi" w:hAnsiTheme="majorHAnsi" w:cstheme="majorHAnsi"/>
          <w:sz w:val="28"/>
          <w:szCs w:val="28"/>
        </w:rPr>
        <w:t>e</w:t>
      </w:r>
      <w:r w:rsidRPr="00220170">
        <w:rPr>
          <w:rFonts w:asciiTheme="majorHAnsi" w:hAnsiTheme="majorHAnsi" w:cstheme="majorHAnsi"/>
          <w:sz w:val="28"/>
          <w:szCs w:val="28"/>
        </w:rPr>
        <w:t>s de</w:t>
      </w:r>
      <w:r w:rsidR="009D38ED" w:rsidRPr="00220170">
        <w:rPr>
          <w:rFonts w:asciiTheme="majorHAnsi" w:hAnsiTheme="majorHAnsi" w:cstheme="majorHAnsi"/>
          <w:sz w:val="28"/>
          <w:szCs w:val="28"/>
        </w:rPr>
        <w:t xml:space="preserve"> </w:t>
      </w:r>
      <w:r w:rsidRPr="00220170">
        <w:rPr>
          <w:rFonts w:asciiTheme="majorHAnsi" w:hAnsiTheme="majorHAnsi" w:cstheme="majorHAnsi"/>
          <w:sz w:val="28"/>
          <w:szCs w:val="28"/>
        </w:rPr>
        <w:t>l</w:t>
      </w:r>
      <w:r w:rsidR="009D38ED" w:rsidRPr="00220170">
        <w:rPr>
          <w:rFonts w:asciiTheme="majorHAnsi" w:hAnsiTheme="majorHAnsi" w:cstheme="majorHAnsi"/>
          <w:sz w:val="28"/>
          <w:szCs w:val="28"/>
        </w:rPr>
        <w:t>o</w:t>
      </w:r>
      <w:r w:rsidRPr="00220170">
        <w:rPr>
          <w:rFonts w:asciiTheme="majorHAnsi" w:hAnsiTheme="majorHAnsi" w:cstheme="majorHAnsi"/>
          <w:sz w:val="28"/>
          <w:szCs w:val="28"/>
        </w:rPr>
        <w:t xml:space="preserve">s </w:t>
      </w:r>
      <w:r w:rsidR="009D38ED" w:rsidRPr="00220170">
        <w:rPr>
          <w:rFonts w:asciiTheme="majorHAnsi" w:hAnsiTheme="majorHAnsi" w:cstheme="majorHAnsi"/>
          <w:sz w:val="28"/>
          <w:szCs w:val="28"/>
        </w:rPr>
        <w:t>c</w:t>
      </w:r>
      <w:r w:rsidRPr="00220170">
        <w:rPr>
          <w:rFonts w:asciiTheme="majorHAnsi" w:hAnsiTheme="majorHAnsi" w:cstheme="majorHAnsi"/>
          <w:sz w:val="28"/>
          <w:szCs w:val="28"/>
        </w:rPr>
        <w:t>ual</w:t>
      </w:r>
      <w:r w:rsidR="009D38ED" w:rsidRPr="00220170">
        <w:rPr>
          <w:rFonts w:asciiTheme="majorHAnsi" w:hAnsiTheme="majorHAnsi" w:cstheme="majorHAnsi"/>
          <w:sz w:val="28"/>
          <w:szCs w:val="28"/>
        </w:rPr>
        <w:t>e</w:t>
      </w:r>
      <w:r w:rsidRPr="00220170">
        <w:rPr>
          <w:rFonts w:asciiTheme="majorHAnsi" w:hAnsiTheme="majorHAnsi" w:cstheme="majorHAnsi"/>
          <w:sz w:val="28"/>
          <w:szCs w:val="28"/>
        </w:rPr>
        <w:t xml:space="preserve">s 36 </w:t>
      </w:r>
      <w:r w:rsidR="009D38ED" w:rsidRPr="00220170">
        <w:rPr>
          <w:rFonts w:asciiTheme="majorHAnsi" w:hAnsiTheme="majorHAnsi" w:cstheme="majorHAnsi"/>
          <w:sz w:val="28"/>
          <w:szCs w:val="28"/>
        </w:rPr>
        <w:t>encaró están en curso, se han emitido</w:t>
      </w:r>
      <w:r w:rsidRPr="00220170">
        <w:rPr>
          <w:rFonts w:asciiTheme="majorHAnsi" w:hAnsiTheme="majorHAnsi" w:cstheme="majorHAnsi"/>
          <w:sz w:val="28"/>
          <w:szCs w:val="28"/>
        </w:rPr>
        <w:t xml:space="preserve"> </w:t>
      </w:r>
      <w:r w:rsidRPr="00220170">
        <w:rPr>
          <w:rFonts w:asciiTheme="majorHAnsi" w:hAnsiTheme="majorHAnsi" w:cstheme="majorHAnsi"/>
          <w:b/>
          <w:bCs/>
          <w:sz w:val="28"/>
          <w:szCs w:val="28"/>
        </w:rPr>
        <w:t>22</w:t>
      </w:r>
      <w:r w:rsidRPr="00220170">
        <w:rPr>
          <w:rFonts w:asciiTheme="majorHAnsi" w:hAnsiTheme="majorHAnsi" w:cstheme="majorHAnsi"/>
          <w:sz w:val="28"/>
          <w:szCs w:val="28"/>
        </w:rPr>
        <w:t xml:space="preserve"> laud</w:t>
      </w:r>
      <w:r w:rsidR="009D38ED" w:rsidRPr="00220170">
        <w:rPr>
          <w:rFonts w:asciiTheme="majorHAnsi" w:hAnsiTheme="majorHAnsi" w:cstheme="majorHAnsi"/>
          <w:sz w:val="28"/>
          <w:szCs w:val="28"/>
        </w:rPr>
        <w:t>o</w:t>
      </w:r>
      <w:r w:rsidRPr="00220170">
        <w:rPr>
          <w:rFonts w:asciiTheme="majorHAnsi" w:hAnsiTheme="majorHAnsi" w:cstheme="majorHAnsi"/>
          <w:sz w:val="28"/>
          <w:szCs w:val="28"/>
        </w:rPr>
        <w:t xml:space="preserve">s </w:t>
      </w:r>
      <w:r w:rsidR="009D38ED" w:rsidRPr="00220170">
        <w:rPr>
          <w:rFonts w:asciiTheme="majorHAnsi" w:hAnsiTheme="majorHAnsi" w:cstheme="majorHAnsi"/>
          <w:sz w:val="28"/>
          <w:szCs w:val="28"/>
        </w:rPr>
        <w:t>y se han liquidado</w:t>
      </w:r>
      <w:r w:rsidRPr="00220170">
        <w:rPr>
          <w:rFonts w:asciiTheme="majorHAnsi" w:hAnsiTheme="majorHAnsi" w:cstheme="majorHAnsi"/>
          <w:sz w:val="28"/>
          <w:szCs w:val="28"/>
        </w:rPr>
        <w:t xml:space="preserve"> 37 arbitra</w:t>
      </w:r>
      <w:r w:rsidR="009D38ED" w:rsidRPr="00220170">
        <w:rPr>
          <w:rFonts w:asciiTheme="majorHAnsi" w:hAnsiTheme="majorHAnsi" w:cstheme="majorHAnsi"/>
          <w:sz w:val="28"/>
          <w:szCs w:val="28"/>
        </w:rPr>
        <w:t>jes.</w:t>
      </w:r>
    </w:p>
    <w:p w14:paraId="58A6B33B" w14:textId="6C834A03" w:rsidR="00753F5D" w:rsidRDefault="00753F5D" w:rsidP="00114D29">
      <w:pPr>
        <w:rPr>
          <w:rFonts w:asciiTheme="majorHAnsi" w:hAnsiTheme="majorHAnsi" w:cstheme="majorHAnsi"/>
          <w:sz w:val="18"/>
          <w:szCs w:val="18"/>
        </w:rPr>
      </w:pPr>
    </w:p>
    <w:p w14:paraId="294C7B7D" w14:textId="77777777" w:rsidR="00223A2F" w:rsidRPr="00AB5EA7" w:rsidRDefault="00223A2F" w:rsidP="00114D29">
      <w:pPr>
        <w:rPr>
          <w:rFonts w:asciiTheme="majorHAnsi" w:hAnsiTheme="majorHAnsi" w:cstheme="majorHAnsi"/>
          <w:sz w:val="18"/>
          <w:szCs w:val="18"/>
        </w:rPr>
      </w:pPr>
    </w:p>
    <w:p w14:paraId="67A6804D" w14:textId="59C522B2" w:rsidR="00753F5D" w:rsidRPr="00AB5EA7" w:rsidRDefault="00223A2F" w:rsidP="00114D29">
      <w:pPr>
        <w:rPr>
          <w:rFonts w:asciiTheme="majorHAnsi" w:hAnsiTheme="majorHAnsi" w:cstheme="majorHAnsi"/>
          <w:sz w:val="18"/>
          <w:szCs w:val="18"/>
        </w:rPr>
      </w:pPr>
      <w:r w:rsidRPr="00AB5EA7">
        <w:rPr>
          <w:noProof/>
        </w:rPr>
        <w:drawing>
          <wp:anchor distT="0" distB="0" distL="114300" distR="114300" simplePos="0" relativeHeight="251659264" behindDoc="1" locked="0" layoutInCell="1" allowOverlap="1" wp14:anchorId="6D83B7FF" wp14:editId="7AD0E765">
            <wp:simplePos x="0" y="0"/>
            <wp:positionH relativeFrom="margin">
              <wp:align>left</wp:align>
            </wp:positionH>
            <wp:positionV relativeFrom="page">
              <wp:posOffset>2426970</wp:posOffset>
            </wp:positionV>
            <wp:extent cx="3689350" cy="2301240"/>
            <wp:effectExtent l="0" t="0" r="6350" b="3810"/>
            <wp:wrapTight wrapText="bothSides">
              <wp:wrapPolygon edited="0">
                <wp:start x="0" y="0"/>
                <wp:lineTo x="0" y="21457"/>
                <wp:lineTo x="21526" y="21457"/>
                <wp:lineTo x="21526" y="0"/>
                <wp:lineTo x="0" y="0"/>
              </wp:wrapPolygon>
            </wp:wrapTight>
            <wp:docPr id="1632002400" name="Gráfico 1">
              <a:extLst xmlns:a="http://schemas.openxmlformats.org/drawingml/2006/main">
                <a:ext uri="{FF2B5EF4-FFF2-40B4-BE49-F238E27FC236}">
                  <a16:creationId xmlns:a16="http://schemas.microsoft.com/office/drawing/2014/main" id="{5B71469F-2BDF-77CA-9F36-741D97B25645}"/>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7"/>
              </a:graphicData>
            </a:graphic>
            <wp14:sizeRelH relativeFrom="margin">
              <wp14:pctWidth>0</wp14:pctWidth>
            </wp14:sizeRelH>
            <wp14:sizeRelV relativeFrom="margin">
              <wp14:pctHeight>0</wp14:pctHeight>
            </wp14:sizeRelV>
          </wp:anchor>
        </w:drawing>
      </w:r>
    </w:p>
    <w:p w14:paraId="63C2E052" w14:textId="158DD525" w:rsidR="00E24138" w:rsidRPr="00AB5EA7" w:rsidRDefault="00E24138" w:rsidP="00114D29">
      <w:pPr>
        <w:rPr>
          <w:rFonts w:asciiTheme="majorHAnsi" w:hAnsiTheme="majorHAnsi" w:cstheme="majorHAnsi"/>
          <w:sz w:val="18"/>
          <w:szCs w:val="18"/>
        </w:rPr>
      </w:pPr>
    </w:p>
    <w:p w14:paraId="664B8FF7" w14:textId="1E893A64" w:rsidR="00C908D1" w:rsidRPr="00AB5EA7" w:rsidRDefault="009D38ED" w:rsidP="009D38ED">
      <w:pPr>
        <w:jc w:val="center"/>
        <w:rPr>
          <w:rFonts w:asciiTheme="majorHAnsi" w:hAnsiTheme="majorHAnsi" w:cstheme="majorHAnsi"/>
          <w:sz w:val="18"/>
          <w:szCs w:val="18"/>
        </w:rPr>
      </w:pPr>
      <w:r w:rsidRPr="00AB5EA7">
        <w:rPr>
          <w:rFonts w:asciiTheme="majorHAnsi" w:hAnsiTheme="majorHAnsi" w:cstheme="majorHAnsi"/>
          <w:sz w:val="18"/>
          <w:szCs w:val="18"/>
        </w:rPr>
        <w:t>Destacan como principales materias objeto de los arbitrajes, los arrendamientos de vivienda y de nave industrial, los contratos de obra y colaboración y cobran relevancia los contratos de prestación de servicios profesionales y mercantiles. El derecho societario sigue teniendo una presencia importante como en los años anteriores.</w:t>
      </w:r>
    </w:p>
    <w:p w14:paraId="43E671F2" w14:textId="5D5F333B" w:rsidR="00C908D1" w:rsidRPr="00AB5EA7" w:rsidRDefault="00C908D1" w:rsidP="00753F5D">
      <w:pPr>
        <w:jc w:val="both"/>
        <w:rPr>
          <w:rFonts w:asciiTheme="majorHAnsi" w:hAnsiTheme="majorHAnsi" w:cstheme="majorHAnsi"/>
          <w:sz w:val="18"/>
          <w:szCs w:val="18"/>
        </w:rPr>
      </w:pPr>
    </w:p>
    <w:p w14:paraId="067FE1BB" w14:textId="7248785F" w:rsidR="00C908D1" w:rsidRPr="00AB5EA7" w:rsidRDefault="00C908D1" w:rsidP="00753F5D">
      <w:pPr>
        <w:jc w:val="both"/>
        <w:rPr>
          <w:rFonts w:asciiTheme="majorHAnsi" w:hAnsiTheme="majorHAnsi" w:cstheme="majorHAnsi"/>
          <w:sz w:val="18"/>
          <w:szCs w:val="18"/>
        </w:rPr>
      </w:pPr>
    </w:p>
    <w:p w14:paraId="2D816A08" w14:textId="7C16766E" w:rsidR="00C908D1" w:rsidRPr="00AB5EA7" w:rsidRDefault="00C908D1" w:rsidP="005A6A36">
      <w:pPr>
        <w:jc w:val="right"/>
        <w:rPr>
          <w:rFonts w:asciiTheme="majorHAnsi" w:hAnsiTheme="majorHAnsi" w:cstheme="majorHAnsi"/>
          <w:sz w:val="18"/>
          <w:szCs w:val="18"/>
        </w:rPr>
      </w:pPr>
    </w:p>
    <w:p w14:paraId="5B23ADB3" w14:textId="55CDC87C" w:rsidR="00C908D1" w:rsidRPr="00AB5EA7" w:rsidRDefault="00C908D1" w:rsidP="00753F5D">
      <w:pPr>
        <w:jc w:val="both"/>
        <w:rPr>
          <w:rFonts w:asciiTheme="majorHAnsi" w:hAnsiTheme="majorHAnsi" w:cstheme="majorHAnsi"/>
          <w:sz w:val="18"/>
          <w:szCs w:val="18"/>
        </w:rPr>
      </w:pPr>
    </w:p>
    <w:p w14:paraId="2249E65E" w14:textId="52913010" w:rsidR="005A6A36" w:rsidRPr="00AB5EA7" w:rsidRDefault="00223A2F" w:rsidP="00753F5D">
      <w:pPr>
        <w:jc w:val="both"/>
        <w:rPr>
          <w:rFonts w:asciiTheme="majorHAnsi" w:hAnsiTheme="majorHAnsi" w:cstheme="majorHAnsi"/>
          <w:sz w:val="18"/>
          <w:szCs w:val="18"/>
        </w:rPr>
      </w:pPr>
      <w:r w:rsidRPr="00AB5EA7">
        <w:rPr>
          <w:noProof/>
        </w:rPr>
        <w:drawing>
          <wp:anchor distT="0" distB="0" distL="114300" distR="114300" simplePos="0" relativeHeight="251660288" behindDoc="1" locked="0" layoutInCell="1" allowOverlap="1" wp14:anchorId="78B07D10" wp14:editId="4FD14FE1">
            <wp:simplePos x="0" y="0"/>
            <wp:positionH relativeFrom="margin">
              <wp:align>right</wp:align>
            </wp:positionH>
            <wp:positionV relativeFrom="page">
              <wp:posOffset>5153660</wp:posOffset>
            </wp:positionV>
            <wp:extent cx="3416300" cy="2354580"/>
            <wp:effectExtent l="0" t="0" r="0" b="7620"/>
            <wp:wrapTight wrapText="bothSides">
              <wp:wrapPolygon edited="0">
                <wp:start x="0" y="0"/>
                <wp:lineTo x="0" y="21495"/>
                <wp:lineTo x="21439" y="21495"/>
                <wp:lineTo x="21439" y="0"/>
                <wp:lineTo x="0" y="0"/>
              </wp:wrapPolygon>
            </wp:wrapTight>
            <wp:docPr id="874246909" name="Gráfico 1">
              <a:extLst xmlns:a="http://schemas.openxmlformats.org/drawingml/2006/main">
                <a:ext uri="{FF2B5EF4-FFF2-40B4-BE49-F238E27FC236}">
                  <a16:creationId xmlns:a16="http://schemas.microsoft.com/office/drawing/2014/main" id="{2166C99B-B942-CCC8-DC7B-3EE2FB059A3C}"/>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8"/>
              </a:graphicData>
            </a:graphic>
            <wp14:sizeRelV relativeFrom="margin">
              <wp14:pctHeight>0</wp14:pctHeight>
            </wp14:sizeRelV>
          </wp:anchor>
        </w:drawing>
      </w:r>
    </w:p>
    <w:p w14:paraId="45034ED3" w14:textId="34234568" w:rsidR="009D38ED" w:rsidRDefault="009D38ED" w:rsidP="009D38ED">
      <w:pPr>
        <w:jc w:val="center"/>
        <w:rPr>
          <w:rFonts w:asciiTheme="majorHAnsi" w:hAnsiTheme="majorHAnsi" w:cstheme="majorHAnsi"/>
          <w:sz w:val="18"/>
          <w:szCs w:val="18"/>
        </w:rPr>
      </w:pPr>
    </w:p>
    <w:p w14:paraId="14F37FCD" w14:textId="77777777" w:rsidR="00624E97" w:rsidRDefault="00624E97" w:rsidP="009D38ED">
      <w:pPr>
        <w:jc w:val="center"/>
        <w:rPr>
          <w:rFonts w:asciiTheme="majorHAnsi" w:hAnsiTheme="majorHAnsi" w:cstheme="majorHAnsi"/>
          <w:sz w:val="18"/>
          <w:szCs w:val="18"/>
        </w:rPr>
      </w:pPr>
    </w:p>
    <w:p w14:paraId="659F8861" w14:textId="77777777" w:rsidR="00624E97" w:rsidRPr="00AB5EA7" w:rsidRDefault="00624E97" w:rsidP="009D38ED">
      <w:pPr>
        <w:jc w:val="center"/>
        <w:rPr>
          <w:rFonts w:asciiTheme="majorHAnsi" w:hAnsiTheme="majorHAnsi" w:cstheme="majorHAnsi"/>
          <w:sz w:val="18"/>
          <w:szCs w:val="18"/>
        </w:rPr>
      </w:pPr>
    </w:p>
    <w:p w14:paraId="726836D4" w14:textId="0B8AA6EC" w:rsidR="00C908D1" w:rsidRPr="00AB5EA7" w:rsidRDefault="009D38ED" w:rsidP="009D38ED">
      <w:pPr>
        <w:jc w:val="center"/>
        <w:rPr>
          <w:rFonts w:asciiTheme="majorHAnsi" w:hAnsiTheme="majorHAnsi" w:cstheme="majorHAnsi"/>
          <w:sz w:val="18"/>
          <w:szCs w:val="18"/>
        </w:rPr>
      </w:pPr>
      <w:r w:rsidRPr="00AB5EA7">
        <w:rPr>
          <w:rFonts w:asciiTheme="majorHAnsi" w:hAnsiTheme="majorHAnsi" w:cstheme="majorHAnsi"/>
          <w:sz w:val="18"/>
          <w:szCs w:val="18"/>
        </w:rPr>
        <w:t>Se mantiene la preferencia del arbitraje de derecho sobre el arbitraje de equidad que tienen que acordar las partes. Este año ha aumentado el arbitraje de equidad en comparación al año pasado que no se dio ningún arbitraje de equidad. Se ha dado entrada a dos arbitrajes de equidad que suponen un porcentaje del 9%.</w:t>
      </w:r>
    </w:p>
    <w:p w14:paraId="5BFEFFB4" w14:textId="46968DC2" w:rsidR="00C908D1" w:rsidRPr="00AB5EA7" w:rsidRDefault="005C6655" w:rsidP="00C908D1">
      <w:pPr>
        <w:jc w:val="right"/>
        <w:rPr>
          <w:rFonts w:asciiTheme="majorHAnsi" w:hAnsiTheme="majorHAnsi" w:cstheme="majorHAnsi"/>
          <w:sz w:val="18"/>
          <w:szCs w:val="18"/>
        </w:rPr>
      </w:pPr>
      <w:r w:rsidRPr="00AB5EA7">
        <w:rPr>
          <w:noProof/>
        </w:rPr>
        <w:drawing>
          <wp:anchor distT="0" distB="0" distL="114300" distR="114300" simplePos="0" relativeHeight="251661312" behindDoc="1" locked="0" layoutInCell="1" allowOverlap="1" wp14:anchorId="207E4AD5" wp14:editId="62AC1066">
            <wp:simplePos x="0" y="0"/>
            <wp:positionH relativeFrom="margin">
              <wp:align>left</wp:align>
            </wp:positionH>
            <wp:positionV relativeFrom="page">
              <wp:posOffset>7814310</wp:posOffset>
            </wp:positionV>
            <wp:extent cx="3672840" cy="2346960"/>
            <wp:effectExtent l="0" t="0" r="3810" b="0"/>
            <wp:wrapTight wrapText="bothSides">
              <wp:wrapPolygon edited="0">
                <wp:start x="0" y="0"/>
                <wp:lineTo x="0" y="21390"/>
                <wp:lineTo x="21510" y="21390"/>
                <wp:lineTo x="21510" y="0"/>
                <wp:lineTo x="0" y="0"/>
              </wp:wrapPolygon>
            </wp:wrapTight>
            <wp:docPr id="495281276" name="Gráfico 1">
              <a:extLst xmlns:a="http://schemas.openxmlformats.org/drawingml/2006/main">
                <a:ext uri="{FF2B5EF4-FFF2-40B4-BE49-F238E27FC236}">
                  <a16:creationId xmlns:a16="http://schemas.microsoft.com/office/drawing/2014/main" id="{3B563335-A817-24D5-D416-411529FF3D5E}"/>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14:sizeRelH relativeFrom="margin">
              <wp14:pctWidth>0</wp14:pctWidth>
            </wp14:sizeRelH>
            <wp14:sizeRelV relativeFrom="margin">
              <wp14:pctHeight>0</wp14:pctHeight>
            </wp14:sizeRelV>
          </wp:anchor>
        </w:drawing>
      </w:r>
    </w:p>
    <w:p w14:paraId="3290E3DF" w14:textId="69504B1B" w:rsidR="005A6A36" w:rsidRPr="00AB5EA7" w:rsidRDefault="005A6A36" w:rsidP="00C908D1">
      <w:pPr>
        <w:jc w:val="right"/>
        <w:rPr>
          <w:rFonts w:asciiTheme="majorHAnsi" w:hAnsiTheme="majorHAnsi" w:cstheme="majorHAnsi"/>
          <w:sz w:val="18"/>
          <w:szCs w:val="18"/>
        </w:rPr>
      </w:pPr>
    </w:p>
    <w:p w14:paraId="64A60E57" w14:textId="4AD2156A" w:rsidR="005A6A36" w:rsidRPr="00AB5EA7" w:rsidRDefault="005A6A36" w:rsidP="00C908D1">
      <w:pPr>
        <w:jc w:val="right"/>
        <w:rPr>
          <w:rFonts w:asciiTheme="majorHAnsi" w:hAnsiTheme="majorHAnsi" w:cstheme="majorHAnsi"/>
          <w:sz w:val="18"/>
          <w:szCs w:val="18"/>
        </w:rPr>
      </w:pPr>
    </w:p>
    <w:p w14:paraId="4C771CBA" w14:textId="334058AC" w:rsidR="00E10DE5" w:rsidRPr="00AB5EA7" w:rsidRDefault="00E10DE5" w:rsidP="00E10DE5">
      <w:pPr>
        <w:rPr>
          <w:rFonts w:asciiTheme="majorHAnsi" w:hAnsiTheme="majorHAnsi" w:cstheme="majorHAnsi"/>
          <w:sz w:val="18"/>
          <w:szCs w:val="18"/>
        </w:rPr>
      </w:pPr>
    </w:p>
    <w:p w14:paraId="37DD8846" w14:textId="77777777" w:rsidR="009D38ED" w:rsidRPr="00AB5EA7" w:rsidRDefault="009D38ED" w:rsidP="00E10DE5">
      <w:pPr>
        <w:rPr>
          <w:rFonts w:asciiTheme="majorHAnsi" w:hAnsiTheme="majorHAnsi" w:cstheme="majorHAnsi"/>
          <w:sz w:val="18"/>
          <w:szCs w:val="18"/>
        </w:rPr>
      </w:pPr>
    </w:p>
    <w:p w14:paraId="4A01E0B0" w14:textId="77777777" w:rsidR="009D38ED" w:rsidRPr="00AB5EA7" w:rsidRDefault="009D38ED" w:rsidP="009D38ED">
      <w:pPr>
        <w:jc w:val="center"/>
        <w:rPr>
          <w:rFonts w:asciiTheme="majorHAnsi" w:hAnsiTheme="majorHAnsi" w:cstheme="majorHAnsi"/>
          <w:sz w:val="18"/>
          <w:szCs w:val="18"/>
        </w:rPr>
      </w:pPr>
    </w:p>
    <w:p w14:paraId="23CA84C5" w14:textId="52BF2C72" w:rsidR="00E10DE5" w:rsidRPr="00AB5EA7" w:rsidRDefault="009D38ED" w:rsidP="009D38ED">
      <w:pPr>
        <w:jc w:val="center"/>
        <w:rPr>
          <w:rFonts w:asciiTheme="majorHAnsi" w:hAnsiTheme="majorHAnsi" w:cstheme="majorHAnsi"/>
          <w:sz w:val="18"/>
          <w:szCs w:val="18"/>
        </w:rPr>
      </w:pPr>
      <w:r w:rsidRPr="00AB5EA7">
        <w:rPr>
          <w:rFonts w:asciiTheme="majorHAnsi" w:hAnsiTheme="majorHAnsi" w:cstheme="majorHAnsi"/>
          <w:sz w:val="18"/>
          <w:szCs w:val="18"/>
        </w:rPr>
        <w:t>Al igual que el año pasado la presencia de la mujer como árbitro todavía dista mucho de estar en plan de igualdad con el género masculino.</w:t>
      </w:r>
    </w:p>
    <w:p w14:paraId="5933BAF1" w14:textId="77777777" w:rsidR="00E10DE5" w:rsidRPr="00AB5EA7" w:rsidRDefault="00E10DE5" w:rsidP="00E10DE5">
      <w:pPr>
        <w:rPr>
          <w:rFonts w:asciiTheme="majorHAnsi" w:hAnsiTheme="majorHAnsi" w:cstheme="majorHAnsi"/>
          <w:sz w:val="18"/>
          <w:szCs w:val="18"/>
        </w:rPr>
      </w:pPr>
    </w:p>
    <w:p w14:paraId="402856E1" w14:textId="77777777" w:rsidR="00E10DE5" w:rsidRPr="00AB5EA7" w:rsidRDefault="00E10DE5" w:rsidP="00E10DE5">
      <w:pPr>
        <w:rPr>
          <w:rFonts w:asciiTheme="majorHAnsi" w:hAnsiTheme="majorHAnsi" w:cstheme="majorHAnsi"/>
          <w:sz w:val="18"/>
          <w:szCs w:val="18"/>
        </w:rPr>
      </w:pPr>
    </w:p>
    <w:p w14:paraId="36F3A479" w14:textId="5E6D2C5F" w:rsidR="00E10DE5" w:rsidRPr="00AB5EA7" w:rsidRDefault="00E10DE5" w:rsidP="00E10DE5">
      <w:pPr>
        <w:rPr>
          <w:rFonts w:asciiTheme="majorHAnsi" w:hAnsiTheme="majorHAnsi" w:cstheme="majorHAnsi"/>
          <w:sz w:val="18"/>
          <w:szCs w:val="18"/>
        </w:rPr>
      </w:pPr>
    </w:p>
    <w:p w14:paraId="6C87BF63" w14:textId="1FA15B60" w:rsidR="00E10DE5" w:rsidRPr="00AB5EA7" w:rsidRDefault="00E10DE5" w:rsidP="00E10DE5">
      <w:pPr>
        <w:rPr>
          <w:rFonts w:asciiTheme="majorHAnsi" w:hAnsiTheme="majorHAnsi" w:cstheme="majorHAnsi"/>
          <w:sz w:val="18"/>
          <w:szCs w:val="18"/>
        </w:rPr>
      </w:pPr>
    </w:p>
    <w:p w14:paraId="03EE0AFF" w14:textId="77777777" w:rsidR="00E10DE5" w:rsidRPr="00AB5EA7" w:rsidRDefault="00E10DE5" w:rsidP="007A3FFD">
      <w:pPr>
        <w:jc w:val="center"/>
        <w:rPr>
          <w:rFonts w:asciiTheme="majorHAnsi" w:hAnsiTheme="majorHAnsi" w:cstheme="majorHAnsi"/>
          <w:sz w:val="18"/>
          <w:szCs w:val="18"/>
        </w:rPr>
      </w:pPr>
    </w:p>
    <w:p w14:paraId="4F1D761D" w14:textId="03524DE5" w:rsidR="007A3FFD" w:rsidRPr="00AB5EA7" w:rsidRDefault="007A3FFD" w:rsidP="007A3FFD">
      <w:pPr>
        <w:jc w:val="center"/>
        <w:rPr>
          <w:rFonts w:asciiTheme="majorHAnsi" w:hAnsiTheme="majorHAnsi" w:cstheme="majorHAnsi"/>
          <w:sz w:val="18"/>
          <w:szCs w:val="18"/>
        </w:rPr>
      </w:pPr>
    </w:p>
    <w:p w14:paraId="7D64C3EF" w14:textId="77777777" w:rsidR="00223A2F" w:rsidRDefault="00223A2F" w:rsidP="007A3FFD">
      <w:pPr>
        <w:jc w:val="center"/>
        <w:rPr>
          <w:rFonts w:asciiTheme="majorHAnsi" w:hAnsiTheme="majorHAnsi" w:cstheme="majorHAnsi"/>
          <w:sz w:val="18"/>
          <w:szCs w:val="18"/>
        </w:rPr>
      </w:pPr>
    </w:p>
    <w:p w14:paraId="0DB91F54" w14:textId="77777777" w:rsidR="00223A2F" w:rsidRDefault="00223A2F" w:rsidP="007A3FFD">
      <w:pPr>
        <w:jc w:val="center"/>
        <w:rPr>
          <w:rFonts w:asciiTheme="majorHAnsi" w:hAnsiTheme="majorHAnsi" w:cstheme="majorHAnsi"/>
          <w:sz w:val="18"/>
          <w:szCs w:val="18"/>
        </w:rPr>
      </w:pPr>
    </w:p>
    <w:p w14:paraId="47F05862" w14:textId="77777777" w:rsidR="00223A2F" w:rsidRDefault="00223A2F" w:rsidP="007A3FFD">
      <w:pPr>
        <w:jc w:val="center"/>
        <w:rPr>
          <w:rFonts w:asciiTheme="majorHAnsi" w:hAnsiTheme="majorHAnsi" w:cstheme="majorHAnsi"/>
          <w:sz w:val="18"/>
          <w:szCs w:val="18"/>
        </w:rPr>
      </w:pPr>
    </w:p>
    <w:p w14:paraId="2140E548" w14:textId="77777777" w:rsidR="00223A2F" w:rsidRDefault="00223A2F" w:rsidP="007A3FFD">
      <w:pPr>
        <w:jc w:val="center"/>
        <w:rPr>
          <w:rFonts w:asciiTheme="majorHAnsi" w:hAnsiTheme="majorHAnsi" w:cstheme="majorHAnsi"/>
          <w:sz w:val="18"/>
          <w:szCs w:val="18"/>
        </w:rPr>
      </w:pPr>
    </w:p>
    <w:p w14:paraId="5EBCFBC1" w14:textId="6A7B8F9A" w:rsidR="005A6A36" w:rsidRPr="00AB5EA7" w:rsidRDefault="00223A2F" w:rsidP="007A3FFD">
      <w:pPr>
        <w:jc w:val="center"/>
        <w:rPr>
          <w:rFonts w:asciiTheme="majorHAnsi" w:hAnsiTheme="majorHAnsi" w:cstheme="majorHAnsi"/>
          <w:sz w:val="18"/>
          <w:szCs w:val="18"/>
        </w:rPr>
      </w:pPr>
      <w:r w:rsidRPr="00AB5EA7">
        <w:rPr>
          <w:noProof/>
        </w:rPr>
        <w:drawing>
          <wp:anchor distT="0" distB="0" distL="114300" distR="114300" simplePos="0" relativeHeight="251669504" behindDoc="1" locked="0" layoutInCell="1" allowOverlap="1" wp14:anchorId="08C25C84" wp14:editId="276F52F5">
            <wp:simplePos x="0" y="0"/>
            <wp:positionH relativeFrom="column">
              <wp:posOffset>3737610</wp:posOffset>
            </wp:positionH>
            <wp:positionV relativeFrom="page">
              <wp:posOffset>927100</wp:posOffset>
            </wp:positionV>
            <wp:extent cx="3454400" cy="2552700"/>
            <wp:effectExtent l="0" t="0" r="0" b="0"/>
            <wp:wrapTight wrapText="bothSides">
              <wp:wrapPolygon edited="0">
                <wp:start x="0" y="0"/>
                <wp:lineTo x="0" y="21439"/>
                <wp:lineTo x="21441" y="21439"/>
                <wp:lineTo x="21441" y="0"/>
                <wp:lineTo x="0" y="0"/>
              </wp:wrapPolygon>
            </wp:wrapTight>
            <wp:docPr id="1504920559" name="Gráfico 1">
              <a:extLst xmlns:a="http://schemas.openxmlformats.org/drawingml/2006/main">
                <a:ext uri="{FF2B5EF4-FFF2-40B4-BE49-F238E27FC236}">
                  <a16:creationId xmlns:a16="http://schemas.microsoft.com/office/drawing/2014/main" id="{7A1FA65D-5E74-25A4-F742-126C6EF3984D}"/>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14:sizeRelH relativeFrom="margin">
              <wp14:pctWidth>0</wp14:pctWidth>
            </wp14:sizeRelH>
            <wp14:sizeRelV relativeFrom="margin">
              <wp14:pctHeight>0</wp14:pctHeight>
            </wp14:sizeRelV>
          </wp:anchor>
        </w:drawing>
      </w:r>
      <w:r w:rsidR="007A3FFD" w:rsidRPr="00AB5EA7">
        <w:rPr>
          <w:rFonts w:asciiTheme="majorHAnsi" w:hAnsiTheme="majorHAnsi" w:cstheme="majorHAnsi"/>
          <w:sz w:val="18"/>
          <w:szCs w:val="18"/>
        </w:rPr>
        <w:t>El idioma predominante de los arbitrajes ha sido el castellano, si bien en muchos de estos arbitrajes las partes han acordado la práctica de prueba y la aportación de documentos en otros idiomas como el inglés y el ruso.</w:t>
      </w:r>
    </w:p>
    <w:p w14:paraId="4DEB49A3" w14:textId="057BB08D" w:rsidR="00A518D2" w:rsidRPr="00AB5EA7" w:rsidRDefault="00A518D2" w:rsidP="005A6A36">
      <w:pPr>
        <w:rPr>
          <w:rFonts w:asciiTheme="majorHAnsi" w:hAnsiTheme="majorHAnsi" w:cstheme="majorHAnsi"/>
          <w:sz w:val="18"/>
          <w:szCs w:val="18"/>
        </w:rPr>
      </w:pPr>
    </w:p>
    <w:p w14:paraId="016DAF9B" w14:textId="4393FA1C" w:rsidR="00AF5248" w:rsidRPr="00AB5EA7" w:rsidRDefault="00AF5248" w:rsidP="005A6A36">
      <w:pPr>
        <w:rPr>
          <w:rFonts w:asciiTheme="majorHAnsi" w:hAnsiTheme="majorHAnsi" w:cstheme="majorHAnsi"/>
          <w:sz w:val="18"/>
          <w:szCs w:val="18"/>
        </w:rPr>
      </w:pPr>
    </w:p>
    <w:p w14:paraId="75E59A21" w14:textId="24D76667" w:rsidR="00AF5248" w:rsidRPr="00AB5EA7" w:rsidRDefault="00AF5248" w:rsidP="005A6A36">
      <w:pPr>
        <w:rPr>
          <w:rFonts w:asciiTheme="majorHAnsi" w:hAnsiTheme="majorHAnsi" w:cstheme="majorHAnsi"/>
          <w:sz w:val="18"/>
          <w:szCs w:val="18"/>
        </w:rPr>
      </w:pPr>
    </w:p>
    <w:p w14:paraId="432953C5" w14:textId="6F6DB0C4" w:rsidR="00E24138" w:rsidRPr="00AB5EA7" w:rsidRDefault="00E24138" w:rsidP="00AF5248">
      <w:pPr>
        <w:jc w:val="right"/>
        <w:rPr>
          <w:rFonts w:asciiTheme="majorHAnsi" w:hAnsiTheme="majorHAnsi" w:cstheme="majorHAnsi"/>
          <w:sz w:val="18"/>
          <w:szCs w:val="18"/>
        </w:rPr>
      </w:pPr>
    </w:p>
    <w:p w14:paraId="6CAD8876" w14:textId="0B9796E8" w:rsidR="00E24138" w:rsidRPr="00AB5EA7" w:rsidRDefault="005C6655" w:rsidP="00AF5248">
      <w:pPr>
        <w:jc w:val="right"/>
        <w:rPr>
          <w:rFonts w:asciiTheme="majorHAnsi" w:hAnsiTheme="majorHAnsi" w:cstheme="majorHAnsi"/>
          <w:sz w:val="18"/>
          <w:szCs w:val="18"/>
        </w:rPr>
      </w:pPr>
      <w:r w:rsidRPr="00AB5EA7">
        <w:rPr>
          <w:noProof/>
        </w:rPr>
        <w:drawing>
          <wp:anchor distT="0" distB="0" distL="114300" distR="114300" simplePos="0" relativeHeight="251662336" behindDoc="1" locked="0" layoutInCell="1" allowOverlap="1" wp14:anchorId="68B7C0B2" wp14:editId="557EED5F">
            <wp:simplePos x="0" y="0"/>
            <wp:positionH relativeFrom="column">
              <wp:posOffset>-27940</wp:posOffset>
            </wp:positionH>
            <wp:positionV relativeFrom="page">
              <wp:posOffset>3458210</wp:posOffset>
            </wp:positionV>
            <wp:extent cx="3543300" cy="2733040"/>
            <wp:effectExtent l="0" t="0" r="0" b="0"/>
            <wp:wrapTight wrapText="bothSides">
              <wp:wrapPolygon edited="0">
                <wp:start x="0" y="0"/>
                <wp:lineTo x="0" y="21379"/>
                <wp:lineTo x="21484" y="21379"/>
                <wp:lineTo x="21484" y="0"/>
                <wp:lineTo x="0" y="0"/>
              </wp:wrapPolygon>
            </wp:wrapTight>
            <wp:docPr id="979473220" name="Gráfico 1">
              <a:extLst xmlns:a="http://schemas.openxmlformats.org/drawingml/2006/main">
                <a:ext uri="{FF2B5EF4-FFF2-40B4-BE49-F238E27FC236}">
                  <a16:creationId xmlns:a16="http://schemas.microsoft.com/office/drawing/2014/main" id="{1173CA46-9763-BEA0-6347-C8A8C30C918C}"/>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14:sizeRelH relativeFrom="margin">
              <wp14:pctWidth>0</wp14:pctWidth>
            </wp14:sizeRelH>
            <wp14:sizeRelV relativeFrom="margin">
              <wp14:pctHeight>0</wp14:pctHeight>
            </wp14:sizeRelV>
          </wp:anchor>
        </w:drawing>
      </w:r>
    </w:p>
    <w:p w14:paraId="6B920DF9" w14:textId="26AC4B0E" w:rsidR="00E24138" w:rsidRPr="00AB5EA7" w:rsidRDefault="00E24138" w:rsidP="00AF5248">
      <w:pPr>
        <w:jc w:val="right"/>
        <w:rPr>
          <w:rFonts w:asciiTheme="majorHAnsi" w:hAnsiTheme="majorHAnsi" w:cstheme="majorHAnsi"/>
          <w:sz w:val="18"/>
          <w:szCs w:val="18"/>
        </w:rPr>
      </w:pPr>
    </w:p>
    <w:p w14:paraId="6DA42BF8" w14:textId="2EA96D6D" w:rsidR="00E24138" w:rsidRPr="00AB5EA7" w:rsidRDefault="00E24138" w:rsidP="00AF5248">
      <w:pPr>
        <w:jc w:val="right"/>
        <w:rPr>
          <w:rFonts w:asciiTheme="majorHAnsi" w:hAnsiTheme="majorHAnsi" w:cstheme="majorHAnsi"/>
          <w:sz w:val="18"/>
          <w:szCs w:val="18"/>
        </w:rPr>
      </w:pPr>
    </w:p>
    <w:p w14:paraId="49AE82E9" w14:textId="29EC9C65" w:rsidR="00E24138" w:rsidRPr="00AB5EA7" w:rsidRDefault="00E24138" w:rsidP="00AF5248">
      <w:pPr>
        <w:jc w:val="right"/>
        <w:rPr>
          <w:rFonts w:asciiTheme="majorHAnsi" w:hAnsiTheme="majorHAnsi" w:cstheme="majorHAnsi"/>
          <w:sz w:val="18"/>
          <w:szCs w:val="18"/>
        </w:rPr>
      </w:pPr>
    </w:p>
    <w:p w14:paraId="54BCC374" w14:textId="77777777" w:rsidR="002836FD" w:rsidRPr="00AB5EA7" w:rsidRDefault="002836FD" w:rsidP="007A3FFD">
      <w:pPr>
        <w:jc w:val="center"/>
        <w:rPr>
          <w:rFonts w:asciiTheme="majorHAnsi" w:hAnsiTheme="majorHAnsi" w:cstheme="majorHAnsi"/>
          <w:sz w:val="18"/>
          <w:szCs w:val="18"/>
        </w:rPr>
      </w:pPr>
    </w:p>
    <w:p w14:paraId="64B70162" w14:textId="396D6BBF" w:rsidR="00E24138" w:rsidRPr="00AB5EA7" w:rsidRDefault="007A3FFD" w:rsidP="007A3FFD">
      <w:pPr>
        <w:jc w:val="center"/>
        <w:rPr>
          <w:rFonts w:asciiTheme="majorHAnsi" w:hAnsiTheme="majorHAnsi" w:cstheme="majorHAnsi"/>
          <w:sz w:val="18"/>
          <w:szCs w:val="18"/>
        </w:rPr>
      </w:pPr>
      <w:r w:rsidRPr="00AB5EA7">
        <w:rPr>
          <w:rFonts w:asciiTheme="majorHAnsi" w:hAnsiTheme="majorHAnsi" w:cstheme="majorHAnsi"/>
          <w:sz w:val="18"/>
          <w:szCs w:val="18"/>
        </w:rPr>
        <w:t>Los porcentajes del arbitraje internacional hacia al arbitraje doméstico son los mismos que los del año pasado con un claro predominio del arbitraje doméstico.</w:t>
      </w:r>
    </w:p>
    <w:p w14:paraId="7DA13804" w14:textId="77777777" w:rsidR="00E24138" w:rsidRPr="00AB5EA7" w:rsidRDefault="00E24138" w:rsidP="00AF5248">
      <w:pPr>
        <w:jc w:val="right"/>
        <w:rPr>
          <w:rFonts w:asciiTheme="majorHAnsi" w:hAnsiTheme="majorHAnsi" w:cstheme="majorHAnsi"/>
          <w:sz w:val="18"/>
          <w:szCs w:val="18"/>
        </w:rPr>
      </w:pPr>
    </w:p>
    <w:p w14:paraId="1ECE43CF" w14:textId="77777777" w:rsidR="00EB798E" w:rsidRPr="00AB5EA7" w:rsidRDefault="00EB798E" w:rsidP="006250CC">
      <w:pPr>
        <w:jc w:val="center"/>
        <w:rPr>
          <w:rFonts w:asciiTheme="majorHAnsi" w:hAnsiTheme="majorHAnsi" w:cstheme="majorHAnsi"/>
          <w:b/>
          <w:bCs/>
          <w:sz w:val="24"/>
          <w:szCs w:val="24"/>
        </w:rPr>
      </w:pPr>
    </w:p>
    <w:p w14:paraId="3F472221" w14:textId="77777777" w:rsidR="007555C8" w:rsidRPr="00AB5EA7" w:rsidRDefault="007555C8" w:rsidP="005C6655">
      <w:pPr>
        <w:rPr>
          <w:rFonts w:asciiTheme="majorHAnsi" w:hAnsiTheme="majorHAnsi" w:cstheme="majorHAnsi"/>
          <w:b/>
          <w:bCs/>
          <w:sz w:val="24"/>
          <w:szCs w:val="24"/>
        </w:rPr>
      </w:pPr>
    </w:p>
    <w:p w14:paraId="274E5574" w14:textId="77777777" w:rsidR="007555C8" w:rsidRPr="00AB5EA7" w:rsidRDefault="007555C8" w:rsidP="007555C8">
      <w:pPr>
        <w:jc w:val="center"/>
        <w:rPr>
          <w:rFonts w:asciiTheme="majorHAnsi" w:hAnsiTheme="majorHAnsi" w:cstheme="majorHAnsi"/>
          <w:b/>
          <w:bCs/>
          <w:sz w:val="24"/>
          <w:szCs w:val="24"/>
        </w:rPr>
      </w:pPr>
    </w:p>
    <w:p w14:paraId="7EB2E059" w14:textId="3B3A3538" w:rsidR="00EB798E" w:rsidRPr="00AB5EA7" w:rsidRDefault="00926DA6" w:rsidP="007555C8">
      <w:pPr>
        <w:jc w:val="center"/>
        <w:rPr>
          <w:rFonts w:asciiTheme="majorHAnsi" w:hAnsiTheme="majorHAnsi" w:cstheme="majorHAnsi"/>
          <w:b/>
          <w:bCs/>
          <w:sz w:val="24"/>
          <w:szCs w:val="24"/>
        </w:rPr>
      </w:pPr>
      <w:r w:rsidRPr="00AB5EA7">
        <w:rPr>
          <w:rFonts w:asciiTheme="majorHAnsi" w:hAnsiTheme="majorHAnsi" w:cstheme="majorHAnsi"/>
          <w:b/>
          <w:bCs/>
          <w:sz w:val="24"/>
          <w:szCs w:val="24"/>
        </w:rPr>
        <w:t>C</w:t>
      </w:r>
      <w:r w:rsidR="00EB798E" w:rsidRPr="00AB5EA7">
        <w:rPr>
          <w:rFonts w:asciiTheme="majorHAnsi" w:hAnsiTheme="majorHAnsi" w:cstheme="majorHAnsi"/>
          <w:b/>
          <w:bCs/>
          <w:sz w:val="24"/>
          <w:szCs w:val="24"/>
        </w:rPr>
        <w:t>UANT</w:t>
      </w:r>
      <w:r w:rsidRPr="00AB5EA7">
        <w:rPr>
          <w:rFonts w:asciiTheme="majorHAnsi" w:hAnsiTheme="majorHAnsi" w:cstheme="majorHAnsi"/>
          <w:b/>
          <w:bCs/>
          <w:sz w:val="24"/>
          <w:szCs w:val="24"/>
        </w:rPr>
        <w:t>Í</w:t>
      </w:r>
      <w:r w:rsidR="00EB798E" w:rsidRPr="00AB5EA7">
        <w:rPr>
          <w:rFonts w:asciiTheme="majorHAnsi" w:hAnsiTheme="majorHAnsi" w:cstheme="majorHAnsi"/>
          <w:b/>
          <w:bCs/>
          <w:sz w:val="24"/>
          <w:szCs w:val="24"/>
        </w:rPr>
        <w:t>A ARBITRA</w:t>
      </w:r>
      <w:r w:rsidRPr="00AB5EA7">
        <w:rPr>
          <w:rFonts w:asciiTheme="majorHAnsi" w:hAnsiTheme="majorHAnsi" w:cstheme="majorHAnsi"/>
          <w:b/>
          <w:bCs/>
          <w:sz w:val="24"/>
          <w:szCs w:val="24"/>
        </w:rPr>
        <w:t>J</w:t>
      </w:r>
      <w:r w:rsidR="00EB798E" w:rsidRPr="00AB5EA7">
        <w:rPr>
          <w:rFonts w:asciiTheme="majorHAnsi" w:hAnsiTheme="majorHAnsi" w:cstheme="majorHAnsi"/>
          <w:b/>
          <w:bCs/>
          <w:sz w:val="24"/>
          <w:szCs w:val="24"/>
        </w:rPr>
        <w:t>E</w:t>
      </w:r>
    </w:p>
    <w:p w14:paraId="59094363" w14:textId="3C2ADB84" w:rsidR="00EB798E" w:rsidRPr="00AB5EA7" w:rsidRDefault="00EB798E" w:rsidP="006250CC">
      <w:pPr>
        <w:jc w:val="center"/>
        <w:rPr>
          <w:rFonts w:asciiTheme="majorHAnsi" w:hAnsiTheme="majorHAnsi" w:cstheme="majorHAnsi"/>
          <w:b/>
          <w:bCs/>
          <w:sz w:val="24"/>
          <w:szCs w:val="24"/>
        </w:rPr>
      </w:pPr>
      <w:r w:rsidRPr="00AB5EA7">
        <w:rPr>
          <w:noProof/>
        </w:rPr>
        <w:drawing>
          <wp:inline distT="0" distB="0" distL="0" distR="0" wp14:anchorId="533432AA" wp14:editId="457D02F3">
            <wp:extent cx="7199630" cy="2587565"/>
            <wp:effectExtent l="0" t="0" r="1270" b="3810"/>
            <wp:docPr id="2057003520" name="Gráfico 1">
              <a:extLst xmlns:a="http://schemas.openxmlformats.org/drawingml/2006/main">
                <a:ext uri="{FF2B5EF4-FFF2-40B4-BE49-F238E27FC236}">
                  <a16:creationId xmlns:a16="http://schemas.microsoft.com/office/drawing/2014/main" id="{A2E23BAF-AF12-4708-C151-8B9CF1CC8109}"/>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inline>
        </w:drawing>
      </w:r>
    </w:p>
    <w:p w14:paraId="737B3E3E" w14:textId="77357F8C" w:rsidR="007A3FFD" w:rsidRPr="00AB5EA7" w:rsidRDefault="007A3FFD" w:rsidP="00EB798E">
      <w:pPr>
        <w:jc w:val="center"/>
        <w:rPr>
          <w:rFonts w:asciiTheme="majorHAnsi" w:hAnsiTheme="majorHAnsi" w:cstheme="majorHAnsi"/>
          <w:sz w:val="18"/>
          <w:szCs w:val="18"/>
        </w:rPr>
      </w:pPr>
      <w:r w:rsidRPr="00AB5EA7">
        <w:rPr>
          <w:rFonts w:asciiTheme="majorHAnsi" w:hAnsiTheme="majorHAnsi" w:cstheme="majorHAnsi"/>
          <w:sz w:val="18"/>
          <w:szCs w:val="18"/>
        </w:rPr>
        <w:t>Destacamos una cuantía máxima de 11.490.856,97€ y una cuantía mínima de 6.300,00€. En este sentido podemos decir que el</w:t>
      </w:r>
      <w:r w:rsidR="00D843FF" w:rsidRPr="00AB5EA7">
        <w:rPr>
          <w:rFonts w:asciiTheme="majorHAnsi" w:hAnsiTheme="majorHAnsi" w:cstheme="majorHAnsi"/>
          <w:sz w:val="18"/>
          <w:szCs w:val="18"/>
        </w:rPr>
        <w:t xml:space="preserve"> </w:t>
      </w:r>
      <w:r w:rsidRPr="00AB5EA7">
        <w:rPr>
          <w:rFonts w:asciiTheme="majorHAnsi" w:hAnsiTheme="majorHAnsi" w:cstheme="majorHAnsi"/>
          <w:sz w:val="18"/>
          <w:szCs w:val="18"/>
        </w:rPr>
        <w:t>TAB</w:t>
      </w:r>
      <w:r w:rsidR="00D843FF" w:rsidRPr="00AB5EA7">
        <w:rPr>
          <w:rFonts w:asciiTheme="majorHAnsi" w:hAnsiTheme="majorHAnsi" w:cstheme="majorHAnsi"/>
          <w:sz w:val="18"/>
          <w:szCs w:val="18"/>
        </w:rPr>
        <w:t xml:space="preserve"> </w:t>
      </w:r>
      <w:r w:rsidRPr="00AB5EA7">
        <w:rPr>
          <w:rFonts w:asciiTheme="majorHAnsi" w:hAnsiTheme="majorHAnsi" w:cstheme="majorHAnsi"/>
          <w:sz w:val="18"/>
          <w:szCs w:val="18"/>
        </w:rPr>
        <w:t xml:space="preserve">también </w:t>
      </w:r>
      <w:r w:rsidR="00D843FF" w:rsidRPr="00AB5EA7">
        <w:rPr>
          <w:rFonts w:asciiTheme="majorHAnsi" w:hAnsiTheme="majorHAnsi" w:cstheme="majorHAnsi"/>
          <w:sz w:val="18"/>
          <w:szCs w:val="18"/>
        </w:rPr>
        <w:t xml:space="preserve">da respuesta </w:t>
      </w:r>
      <w:r w:rsidRPr="00AB5EA7">
        <w:rPr>
          <w:rFonts w:asciiTheme="majorHAnsi" w:hAnsiTheme="majorHAnsi" w:cstheme="majorHAnsi"/>
          <w:sz w:val="18"/>
          <w:szCs w:val="18"/>
        </w:rPr>
        <w:t xml:space="preserve">a arbitrajes de pequeña cuantía garantizando los honorarios </w:t>
      </w:r>
      <w:r w:rsidR="00D843FF" w:rsidRPr="00AB5EA7">
        <w:rPr>
          <w:rFonts w:asciiTheme="majorHAnsi" w:hAnsiTheme="majorHAnsi" w:cstheme="majorHAnsi"/>
          <w:sz w:val="18"/>
          <w:szCs w:val="18"/>
        </w:rPr>
        <w:t>del</w:t>
      </w:r>
      <w:r w:rsidRPr="00AB5EA7">
        <w:rPr>
          <w:rFonts w:asciiTheme="majorHAnsi" w:hAnsiTheme="majorHAnsi" w:cstheme="majorHAnsi"/>
          <w:sz w:val="18"/>
          <w:szCs w:val="18"/>
        </w:rPr>
        <w:t xml:space="preserve"> árbitro tal como se establece al protocolo de solidaridad entre árbitr</w:t>
      </w:r>
      <w:r w:rsidR="00D843FF" w:rsidRPr="00AB5EA7">
        <w:rPr>
          <w:rFonts w:asciiTheme="majorHAnsi" w:hAnsiTheme="majorHAnsi" w:cstheme="majorHAnsi"/>
          <w:sz w:val="18"/>
          <w:szCs w:val="18"/>
        </w:rPr>
        <w:t>o</w:t>
      </w:r>
      <w:r w:rsidRPr="00AB5EA7">
        <w:rPr>
          <w:rFonts w:asciiTheme="majorHAnsi" w:hAnsiTheme="majorHAnsi" w:cstheme="majorHAnsi"/>
          <w:sz w:val="18"/>
          <w:szCs w:val="18"/>
        </w:rPr>
        <w:t>s.</w:t>
      </w:r>
    </w:p>
    <w:p w14:paraId="2CFDB35A" w14:textId="77777777" w:rsidR="007A3FFD" w:rsidRPr="00AB5EA7" w:rsidRDefault="007A3FFD" w:rsidP="00EB798E">
      <w:pPr>
        <w:jc w:val="center"/>
        <w:rPr>
          <w:rFonts w:asciiTheme="majorHAnsi" w:hAnsiTheme="majorHAnsi" w:cstheme="majorHAnsi"/>
          <w:sz w:val="18"/>
          <w:szCs w:val="18"/>
        </w:rPr>
      </w:pPr>
    </w:p>
    <w:p w14:paraId="0753DF07" w14:textId="77777777" w:rsidR="007A3FFD" w:rsidRPr="00AB5EA7" w:rsidRDefault="007A3FFD" w:rsidP="00EB798E">
      <w:pPr>
        <w:jc w:val="center"/>
        <w:rPr>
          <w:rFonts w:asciiTheme="majorHAnsi" w:hAnsiTheme="majorHAnsi" w:cstheme="majorHAnsi"/>
          <w:sz w:val="18"/>
          <w:szCs w:val="18"/>
        </w:rPr>
      </w:pPr>
    </w:p>
    <w:p w14:paraId="53C83EFA" w14:textId="1BD64CFA" w:rsidR="00004248" w:rsidRPr="00AB5EA7" w:rsidRDefault="00004248" w:rsidP="00EB798E">
      <w:pPr>
        <w:jc w:val="center"/>
        <w:rPr>
          <w:rFonts w:asciiTheme="majorHAnsi" w:hAnsiTheme="majorHAnsi" w:cstheme="majorHAnsi"/>
          <w:sz w:val="18"/>
          <w:szCs w:val="18"/>
        </w:rPr>
      </w:pPr>
      <w:r w:rsidRPr="00AB5EA7">
        <w:rPr>
          <w:noProof/>
        </w:rPr>
        <w:lastRenderedPageBreak/>
        <w:drawing>
          <wp:anchor distT="0" distB="0" distL="114300" distR="114300" simplePos="0" relativeHeight="251663360" behindDoc="1" locked="0" layoutInCell="1" allowOverlap="1" wp14:anchorId="2AC89F49" wp14:editId="63BC47BA">
            <wp:simplePos x="0" y="0"/>
            <wp:positionH relativeFrom="column">
              <wp:posOffset>-12700</wp:posOffset>
            </wp:positionH>
            <wp:positionV relativeFrom="page">
              <wp:posOffset>243840</wp:posOffset>
            </wp:positionV>
            <wp:extent cx="3723640" cy="2580640"/>
            <wp:effectExtent l="0" t="0" r="0" b="0"/>
            <wp:wrapTight wrapText="bothSides">
              <wp:wrapPolygon edited="0">
                <wp:start x="0" y="0"/>
                <wp:lineTo x="0" y="21366"/>
                <wp:lineTo x="21438" y="21366"/>
                <wp:lineTo x="21438" y="0"/>
                <wp:lineTo x="0" y="0"/>
              </wp:wrapPolygon>
            </wp:wrapTight>
            <wp:docPr id="1994726236" name="Gráfico 1">
              <a:extLst xmlns:a="http://schemas.openxmlformats.org/drawingml/2006/main">
                <a:ext uri="{FF2B5EF4-FFF2-40B4-BE49-F238E27FC236}">
                  <a16:creationId xmlns:a16="http://schemas.microsoft.com/office/drawing/2014/main" id="{D5408989-4357-3E23-7AE0-584F9F7CA49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14:sizeRelH relativeFrom="margin">
              <wp14:pctWidth>0</wp14:pctWidth>
            </wp14:sizeRelH>
            <wp14:sizeRelV relativeFrom="margin">
              <wp14:pctHeight>0</wp14:pctHeight>
            </wp14:sizeRelV>
          </wp:anchor>
        </w:drawing>
      </w:r>
    </w:p>
    <w:p w14:paraId="3F1DB29E" w14:textId="78F25734" w:rsidR="00EB798E" w:rsidRPr="00AB5EA7" w:rsidRDefault="00EB798E" w:rsidP="00EB798E">
      <w:pPr>
        <w:spacing w:after="0"/>
        <w:jc w:val="center"/>
        <w:rPr>
          <w:rFonts w:asciiTheme="majorHAnsi" w:hAnsiTheme="majorHAnsi" w:cstheme="majorHAnsi"/>
          <w:sz w:val="18"/>
          <w:szCs w:val="18"/>
        </w:rPr>
      </w:pPr>
    </w:p>
    <w:p w14:paraId="5DDD36DC" w14:textId="77777777" w:rsidR="00D843FF" w:rsidRPr="00AB5EA7" w:rsidRDefault="007A3FFD" w:rsidP="006250CC">
      <w:pPr>
        <w:jc w:val="center"/>
        <w:rPr>
          <w:rFonts w:asciiTheme="majorHAnsi" w:hAnsiTheme="majorHAnsi" w:cstheme="majorHAnsi"/>
          <w:sz w:val="18"/>
          <w:szCs w:val="18"/>
        </w:rPr>
      </w:pPr>
      <w:r w:rsidRPr="00AB5EA7">
        <w:rPr>
          <w:rFonts w:asciiTheme="majorHAnsi" w:hAnsiTheme="majorHAnsi" w:cstheme="majorHAnsi"/>
          <w:sz w:val="18"/>
          <w:szCs w:val="18"/>
        </w:rPr>
        <w:t>En relación a los tramos de cuantía, la horquilla que va desde 20.001€ hasta 600.001€ supone la mitad de la cuantía de los expedientes administrados durante este año.</w:t>
      </w:r>
    </w:p>
    <w:p w14:paraId="2698BF75" w14:textId="318F347C" w:rsidR="006250CC" w:rsidRPr="00AB5EA7" w:rsidRDefault="007A3FFD" w:rsidP="006250CC">
      <w:pPr>
        <w:jc w:val="center"/>
        <w:rPr>
          <w:rFonts w:asciiTheme="majorHAnsi" w:hAnsiTheme="majorHAnsi" w:cstheme="majorHAnsi"/>
          <w:b/>
          <w:bCs/>
          <w:sz w:val="24"/>
          <w:szCs w:val="24"/>
        </w:rPr>
      </w:pPr>
      <w:r w:rsidRPr="00AB5EA7">
        <w:rPr>
          <w:rFonts w:asciiTheme="majorHAnsi" w:hAnsiTheme="majorHAnsi" w:cstheme="majorHAnsi"/>
          <w:sz w:val="18"/>
          <w:szCs w:val="18"/>
        </w:rPr>
        <w:t>Destacamos el incremento del tramo de cuantía superior a 1.500.000€ que ha aumentado durante este año respecto del año pasado.</w:t>
      </w:r>
    </w:p>
    <w:p w14:paraId="15A25C70" w14:textId="416ED71D" w:rsidR="00F028E3" w:rsidRPr="00AB5EA7" w:rsidRDefault="00F028E3" w:rsidP="00AF5248">
      <w:pPr>
        <w:jc w:val="right"/>
        <w:rPr>
          <w:rFonts w:asciiTheme="majorHAnsi" w:hAnsiTheme="majorHAnsi" w:cstheme="majorHAnsi"/>
          <w:sz w:val="18"/>
          <w:szCs w:val="18"/>
        </w:rPr>
      </w:pPr>
    </w:p>
    <w:p w14:paraId="3D24D316" w14:textId="02E800BD" w:rsidR="00EB798E" w:rsidRPr="00AB5EA7" w:rsidRDefault="00EB798E" w:rsidP="005C6655">
      <w:pPr>
        <w:jc w:val="right"/>
        <w:rPr>
          <w:rFonts w:asciiTheme="majorHAnsi" w:hAnsiTheme="majorHAnsi" w:cstheme="majorHAnsi"/>
          <w:b/>
          <w:bCs/>
          <w:sz w:val="24"/>
          <w:szCs w:val="24"/>
        </w:rPr>
      </w:pPr>
    </w:p>
    <w:p w14:paraId="5C78728F" w14:textId="77777777" w:rsidR="007A3FFD" w:rsidRPr="00AB5EA7" w:rsidRDefault="007A3FFD" w:rsidP="005C6655">
      <w:pPr>
        <w:jc w:val="center"/>
        <w:rPr>
          <w:rFonts w:asciiTheme="majorHAnsi" w:hAnsiTheme="majorHAnsi" w:cstheme="majorHAnsi"/>
          <w:b/>
          <w:bCs/>
          <w:sz w:val="24"/>
          <w:szCs w:val="24"/>
        </w:rPr>
      </w:pPr>
    </w:p>
    <w:p w14:paraId="3BD984F7" w14:textId="15C8E9E8" w:rsidR="005C6655" w:rsidRPr="00AB5EA7" w:rsidRDefault="005C6655" w:rsidP="005C6655">
      <w:pPr>
        <w:jc w:val="center"/>
        <w:rPr>
          <w:rFonts w:asciiTheme="majorHAnsi" w:hAnsiTheme="majorHAnsi" w:cstheme="majorHAnsi"/>
          <w:b/>
          <w:bCs/>
          <w:sz w:val="24"/>
          <w:szCs w:val="24"/>
        </w:rPr>
      </w:pPr>
      <w:r w:rsidRPr="00AB5EA7">
        <w:rPr>
          <w:rFonts w:asciiTheme="majorHAnsi" w:hAnsiTheme="majorHAnsi" w:cstheme="majorHAnsi"/>
          <w:b/>
          <w:bCs/>
          <w:sz w:val="24"/>
          <w:szCs w:val="24"/>
        </w:rPr>
        <w:t>DUR</w:t>
      </w:r>
      <w:r w:rsidR="007A3FFD" w:rsidRPr="00AB5EA7">
        <w:rPr>
          <w:rFonts w:asciiTheme="majorHAnsi" w:hAnsiTheme="majorHAnsi" w:cstheme="majorHAnsi"/>
          <w:b/>
          <w:bCs/>
          <w:sz w:val="24"/>
          <w:szCs w:val="24"/>
        </w:rPr>
        <w:t>ACIÓN</w:t>
      </w:r>
      <w:r w:rsidRPr="00AB5EA7">
        <w:rPr>
          <w:rFonts w:asciiTheme="majorHAnsi" w:hAnsiTheme="majorHAnsi" w:cstheme="majorHAnsi"/>
          <w:b/>
          <w:bCs/>
          <w:sz w:val="24"/>
          <w:szCs w:val="24"/>
        </w:rPr>
        <w:t xml:space="preserve"> DE</w:t>
      </w:r>
      <w:r w:rsidR="007A3FFD" w:rsidRPr="00AB5EA7">
        <w:rPr>
          <w:rFonts w:asciiTheme="majorHAnsi" w:hAnsiTheme="majorHAnsi" w:cstheme="majorHAnsi"/>
          <w:b/>
          <w:bCs/>
          <w:sz w:val="24"/>
          <w:szCs w:val="24"/>
        </w:rPr>
        <w:t xml:space="preserve">L </w:t>
      </w:r>
      <w:r w:rsidRPr="00AB5EA7">
        <w:rPr>
          <w:rFonts w:asciiTheme="majorHAnsi" w:hAnsiTheme="majorHAnsi" w:cstheme="majorHAnsi"/>
          <w:b/>
          <w:bCs/>
          <w:sz w:val="24"/>
          <w:szCs w:val="24"/>
        </w:rPr>
        <w:t>ARBITRA</w:t>
      </w:r>
      <w:r w:rsidR="007A3FFD" w:rsidRPr="00AB5EA7">
        <w:rPr>
          <w:rFonts w:asciiTheme="majorHAnsi" w:hAnsiTheme="majorHAnsi" w:cstheme="majorHAnsi"/>
          <w:b/>
          <w:bCs/>
          <w:sz w:val="24"/>
          <w:szCs w:val="24"/>
        </w:rPr>
        <w:t>J</w:t>
      </w:r>
      <w:r w:rsidRPr="00AB5EA7">
        <w:rPr>
          <w:rFonts w:asciiTheme="majorHAnsi" w:hAnsiTheme="majorHAnsi" w:cstheme="majorHAnsi"/>
          <w:b/>
          <w:bCs/>
          <w:sz w:val="24"/>
          <w:szCs w:val="24"/>
        </w:rPr>
        <w:t>E</w:t>
      </w:r>
      <w:r w:rsidRPr="00AB5EA7">
        <w:rPr>
          <w:rStyle w:val="Refdenotaalpie"/>
          <w:rFonts w:asciiTheme="majorHAnsi" w:hAnsiTheme="majorHAnsi" w:cstheme="majorHAnsi"/>
          <w:b/>
          <w:bCs/>
          <w:sz w:val="24"/>
          <w:szCs w:val="24"/>
        </w:rPr>
        <w:footnoteReference w:id="1"/>
      </w:r>
    </w:p>
    <w:p w14:paraId="757ACA90" w14:textId="391845C9" w:rsidR="00EB798E" w:rsidRPr="00AB5EA7" w:rsidRDefault="007A3FFD" w:rsidP="00F4654F">
      <w:pPr>
        <w:jc w:val="center"/>
        <w:rPr>
          <w:rFonts w:asciiTheme="majorHAnsi" w:hAnsiTheme="majorHAnsi" w:cstheme="majorHAnsi"/>
          <w:b/>
          <w:bCs/>
          <w:sz w:val="24"/>
          <w:szCs w:val="24"/>
        </w:rPr>
      </w:pPr>
      <w:r w:rsidRPr="00AB5EA7">
        <w:rPr>
          <w:noProof/>
        </w:rPr>
        <w:drawing>
          <wp:anchor distT="0" distB="0" distL="114300" distR="114300" simplePos="0" relativeHeight="251665408" behindDoc="1" locked="0" layoutInCell="1" allowOverlap="1" wp14:anchorId="7033D4BE" wp14:editId="2AC5F1D6">
            <wp:simplePos x="0" y="0"/>
            <wp:positionH relativeFrom="margin">
              <wp:align>center</wp:align>
            </wp:positionH>
            <wp:positionV relativeFrom="page">
              <wp:posOffset>3242260</wp:posOffset>
            </wp:positionV>
            <wp:extent cx="4947920" cy="1219200"/>
            <wp:effectExtent l="0" t="0" r="5080" b="0"/>
            <wp:wrapTight wrapText="bothSides">
              <wp:wrapPolygon edited="0">
                <wp:start x="0" y="0"/>
                <wp:lineTo x="0" y="21263"/>
                <wp:lineTo x="21539" y="21263"/>
                <wp:lineTo x="21539" y="0"/>
                <wp:lineTo x="0" y="0"/>
              </wp:wrapPolygon>
            </wp:wrapTight>
            <wp:docPr id="514300038" name="Gráfico 1">
              <a:extLst xmlns:a="http://schemas.openxmlformats.org/drawingml/2006/main">
                <a:ext uri="{FF2B5EF4-FFF2-40B4-BE49-F238E27FC236}">
                  <a16:creationId xmlns:a16="http://schemas.microsoft.com/office/drawing/2014/main" id="{E992E5F4-289A-408F-D0B9-D6F376193DE1}"/>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14:sizeRelH relativeFrom="margin">
              <wp14:pctWidth>0</wp14:pctWidth>
            </wp14:sizeRelH>
            <wp14:sizeRelV relativeFrom="margin">
              <wp14:pctHeight>0</wp14:pctHeight>
            </wp14:sizeRelV>
          </wp:anchor>
        </w:drawing>
      </w:r>
    </w:p>
    <w:p w14:paraId="7CDA5604" w14:textId="3B22380A" w:rsidR="00004248" w:rsidRPr="00AB5EA7" w:rsidRDefault="00004248" w:rsidP="00F4654F">
      <w:pPr>
        <w:jc w:val="center"/>
        <w:rPr>
          <w:rFonts w:asciiTheme="majorHAnsi" w:hAnsiTheme="majorHAnsi" w:cstheme="majorHAnsi"/>
          <w:b/>
          <w:bCs/>
          <w:sz w:val="24"/>
          <w:szCs w:val="24"/>
        </w:rPr>
      </w:pPr>
    </w:p>
    <w:p w14:paraId="5830A8E9" w14:textId="4827BB7B" w:rsidR="00004248" w:rsidRPr="00AB5EA7" w:rsidRDefault="00004248" w:rsidP="00F4654F">
      <w:pPr>
        <w:jc w:val="center"/>
        <w:rPr>
          <w:rFonts w:asciiTheme="majorHAnsi" w:hAnsiTheme="majorHAnsi" w:cstheme="majorHAnsi"/>
          <w:b/>
          <w:bCs/>
          <w:sz w:val="24"/>
          <w:szCs w:val="24"/>
        </w:rPr>
      </w:pPr>
    </w:p>
    <w:p w14:paraId="1668903A" w14:textId="77777777" w:rsidR="00004248" w:rsidRPr="00AB5EA7" w:rsidRDefault="00004248" w:rsidP="00F4654F">
      <w:pPr>
        <w:jc w:val="center"/>
        <w:rPr>
          <w:rFonts w:asciiTheme="majorHAnsi" w:hAnsiTheme="majorHAnsi" w:cstheme="majorHAnsi"/>
          <w:b/>
          <w:bCs/>
          <w:sz w:val="24"/>
          <w:szCs w:val="24"/>
        </w:rPr>
      </w:pPr>
    </w:p>
    <w:p w14:paraId="404EB94C" w14:textId="77777777" w:rsidR="00D843FF" w:rsidRPr="00AB5EA7" w:rsidRDefault="00D843FF" w:rsidP="00D843FF">
      <w:pPr>
        <w:rPr>
          <w:rFonts w:asciiTheme="majorHAnsi" w:hAnsiTheme="majorHAnsi" w:cstheme="majorHAnsi"/>
          <w:sz w:val="18"/>
          <w:szCs w:val="18"/>
        </w:rPr>
      </w:pPr>
    </w:p>
    <w:p w14:paraId="461D58F5" w14:textId="69C5F539" w:rsidR="00FF4903" w:rsidRPr="00AB5EA7" w:rsidRDefault="00D843FF" w:rsidP="00D843FF">
      <w:pPr>
        <w:jc w:val="center"/>
        <w:rPr>
          <w:rFonts w:asciiTheme="majorHAnsi" w:hAnsiTheme="majorHAnsi" w:cstheme="majorHAnsi"/>
          <w:sz w:val="18"/>
          <w:szCs w:val="18"/>
        </w:rPr>
      </w:pPr>
      <w:r w:rsidRPr="00AB5EA7">
        <w:rPr>
          <w:rFonts w:asciiTheme="majorHAnsi" w:hAnsiTheme="majorHAnsi" w:cstheme="majorHAnsi"/>
          <w:sz w:val="18"/>
          <w:szCs w:val="18"/>
        </w:rPr>
        <w:t xml:space="preserve">La media acotada de la duración de los procedimientos laudados </w:t>
      </w:r>
      <w:r w:rsidR="00AB5EA7" w:rsidRPr="00AB5EA7">
        <w:rPr>
          <w:rFonts w:asciiTheme="majorHAnsi" w:hAnsiTheme="majorHAnsi" w:cstheme="majorHAnsi"/>
          <w:sz w:val="18"/>
          <w:szCs w:val="18"/>
        </w:rPr>
        <w:t>durante</w:t>
      </w:r>
      <w:r w:rsidRPr="00AB5EA7">
        <w:rPr>
          <w:rFonts w:asciiTheme="majorHAnsi" w:hAnsiTheme="majorHAnsi" w:cstheme="majorHAnsi"/>
          <w:sz w:val="18"/>
          <w:szCs w:val="18"/>
        </w:rPr>
        <w:t xml:space="preserve"> esta año ha sido de </w:t>
      </w:r>
      <w:r w:rsidR="00A958B2" w:rsidRPr="00AB5EA7">
        <w:rPr>
          <w:rFonts w:asciiTheme="majorHAnsi" w:hAnsiTheme="majorHAnsi" w:cstheme="majorHAnsi"/>
          <w:b/>
          <w:bCs/>
          <w:sz w:val="28"/>
          <w:szCs w:val="28"/>
        </w:rPr>
        <w:t>10,7</w:t>
      </w:r>
      <w:r w:rsidR="00A958B2" w:rsidRPr="00AB5EA7">
        <w:rPr>
          <w:rFonts w:asciiTheme="majorHAnsi" w:hAnsiTheme="majorHAnsi" w:cstheme="majorHAnsi"/>
          <w:sz w:val="18"/>
          <w:szCs w:val="18"/>
        </w:rPr>
        <w:t xml:space="preserve"> </w:t>
      </w:r>
      <w:r w:rsidR="002D6768" w:rsidRPr="00AB5EA7">
        <w:rPr>
          <w:rFonts w:asciiTheme="majorHAnsi" w:hAnsiTheme="majorHAnsi" w:cstheme="majorHAnsi"/>
          <w:sz w:val="18"/>
          <w:szCs w:val="18"/>
          <w:u w:val="single"/>
        </w:rPr>
        <w:t>mes</w:t>
      </w:r>
      <w:r w:rsidR="007A3FFD" w:rsidRPr="00AB5EA7">
        <w:rPr>
          <w:rFonts w:asciiTheme="majorHAnsi" w:hAnsiTheme="majorHAnsi" w:cstheme="majorHAnsi"/>
          <w:sz w:val="18"/>
          <w:szCs w:val="18"/>
          <w:u w:val="single"/>
        </w:rPr>
        <w:t>e</w:t>
      </w:r>
      <w:r w:rsidR="002D6768" w:rsidRPr="00AB5EA7">
        <w:rPr>
          <w:rFonts w:asciiTheme="majorHAnsi" w:hAnsiTheme="majorHAnsi" w:cstheme="majorHAnsi"/>
          <w:sz w:val="18"/>
          <w:szCs w:val="18"/>
          <w:u w:val="single"/>
        </w:rPr>
        <w:t>s</w:t>
      </w:r>
      <w:r w:rsidR="00082211" w:rsidRPr="00AB5EA7">
        <w:rPr>
          <w:rFonts w:asciiTheme="majorHAnsi" w:hAnsiTheme="majorHAnsi" w:cstheme="majorHAnsi"/>
          <w:sz w:val="18"/>
          <w:szCs w:val="18"/>
        </w:rPr>
        <w:t>.</w:t>
      </w:r>
    </w:p>
    <w:p w14:paraId="3048FF81" w14:textId="12C3F340" w:rsidR="00F4654F" w:rsidRPr="00AB5EA7" w:rsidRDefault="00F4654F" w:rsidP="003D29F9">
      <w:pPr>
        <w:ind w:firstLine="708"/>
        <w:rPr>
          <w:rFonts w:asciiTheme="majorHAnsi" w:hAnsiTheme="majorHAnsi" w:cstheme="majorHAnsi"/>
          <w:b/>
          <w:bCs/>
        </w:rPr>
      </w:pPr>
      <w:r w:rsidRPr="00AB5EA7">
        <w:rPr>
          <w:rFonts w:asciiTheme="majorHAnsi" w:hAnsiTheme="majorHAnsi" w:cstheme="majorHAnsi"/>
          <w:b/>
          <w:bCs/>
        </w:rPr>
        <w:t>PROCEDIM</w:t>
      </w:r>
      <w:r w:rsidR="00233F82" w:rsidRPr="00AB5EA7">
        <w:rPr>
          <w:rFonts w:asciiTheme="majorHAnsi" w:hAnsiTheme="majorHAnsi" w:cstheme="majorHAnsi"/>
          <w:b/>
          <w:bCs/>
        </w:rPr>
        <w:t>I</w:t>
      </w:r>
      <w:r w:rsidRPr="00AB5EA7">
        <w:rPr>
          <w:rFonts w:asciiTheme="majorHAnsi" w:hAnsiTheme="majorHAnsi" w:cstheme="majorHAnsi"/>
          <w:b/>
          <w:bCs/>
        </w:rPr>
        <w:t>ENT</w:t>
      </w:r>
      <w:r w:rsidR="00233F82" w:rsidRPr="00AB5EA7">
        <w:rPr>
          <w:rFonts w:asciiTheme="majorHAnsi" w:hAnsiTheme="majorHAnsi" w:cstheme="majorHAnsi"/>
          <w:b/>
          <w:bCs/>
        </w:rPr>
        <w:t>O</w:t>
      </w:r>
      <w:r w:rsidRPr="00AB5EA7">
        <w:rPr>
          <w:rFonts w:asciiTheme="majorHAnsi" w:hAnsiTheme="majorHAnsi" w:cstheme="majorHAnsi"/>
          <w:b/>
          <w:bCs/>
        </w:rPr>
        <w:t xml:space="preserve"> ORDINARI</w:t>
      </w:r>
      <w:r w:rsidR="00233F82" w:rsidRPr="00AB5EA7">
        <w:rPr>
          <w:rFonts w:asciiTheme="majorHAnsi" w:hAnsiTheme="majorHAnsi" w:cstheme="majorHAnsi"/>
          <w:b/>
          <w:bCs/>
        </w:rPr>
        <w:t>O</w:t>
      </w:r>
      <w:r w:rsidRPr="00AB5EA7">
        <w:rPr>
          <w:rFonts w:asciiTheme="majorHAnsi" w:hAnsiTheme="majorHAnsi" w:cstheme="majorHAnsi"/>
          <w:b/>
          <w:bCs/>
        </w:rPr>
        <w:t xml:space="preserve"> </w:t>
      </w:r>
      <w:r w:rsidRPr="00AB5EA7">
        <w:rPr>
          <w:rFonts w:asciiTheme="majorHAnsi" w:hAnsiTheme="majorHAnsi" w:cstheme="majorHAnsi"/>
          <w:b/>
          <w:bCs/>
        </w:rPr>
        <w:tab/>
      </w:r>
      <w:r w:rsidRPr="00AB5EA7">
        <w:rPr>
          <w:rFonts w:asciiTheme="majorHAnsi" w:hAnsiTheme="majorHAnsi" w:cstheme="majorHAnsi"/>
          <w:b/>
          <w:bCs/>
        </w:rPr>
        <w:tab/>
      </w:r>
      <w:r w:rsidRPr="00AB5EA7">
        <w:rPr>
          <w:rFonts w:asciiTheme="majorHAnsi" w:hAnsiTheme="majorHAnsi" w:cstheme="majorHAnsi"/>
          <w:b/>
          <w:bCs/>
        </w:rPr>
        <w:tab/>
      </w:r>
      <w:r w:rsidRPr="00AB5EA7">
        <w:rPr>
          <w:rFonts w:asciiTheme="majorHAnsi" w:hAnsiTheme="majorHAnsi" w:cstheme="majorHAnsi"/>
          <w:b/>
          <w:bCs/>
        </w:rPr>
        <w:tab/>
      </w:r>
      <w:r w:rsidRPr="00AB5EA7">
        <w:rPr>
          <w:rFonts w:asciiTheme="majorHAnsi" w:hAnsiTheme="majorHAnsi" w:cstheme="majorHAnsi"/>
          <w:b/>
          <w:bCs/>
        </w:rPr>
        <w:tab/>
        <w:t>PROCEDIM</w:t>
      </w:r>
      <w:r w:rsidR="00926DA6" w:rsidRPr="00AB5EA7">
        <w:rPr>
          <w:rFonts w:asciiTheme="majorHAnsi" w:hAnsiTheme="majorHAnsi" w:cstheme="majorHAnsi"/>
          <w:b/>
          <w:bCs/>
        </w:rPr>
        <w:t>I</w:t>
      </w:r>
      <w:r w:rsidRPr="00AB5EA7">
        <w:rPr>
          <w:rFonts w:asciiTheme="majorHAnsi" w:hAnsiTheme="majorHAnsi" w:cstheme="majorHAnsi"/>
          <w:b/>
          <w:bCs/>
        </w:rPr>
        <w:t>ENT</w:t>
      </w:r>
      <w:r w:rsidR="00926DA6" w:rsidRPr="00AB5EA7">
        <w:rPr>
          <w:rFonts w:asciiTheme="majorHAnsi" w:hAnsiTheme="majorHAnsi" w:cstheme="majorHAnsi"/>
          <w:b/>
          <w:bCs/>
        </w:rPr>
        <w:t>O</w:t>
      </w:r>
      <w:r w:rsidRPr="00AB5EA7">
        <w:rPr>
          <w:rFonts w:asciiTheme="majorHAnsi" w:hAnsiTheme="majorHAnsi" w:cstheme="majorHAnsi"/>
          <w:b/>
          <w:bCs/>
        </w:rPr>
        <w:t xml:space="preserve"> ABRE</w:t>
      </w:r>
      <w:r w:rsidR="00233F82" w:rsidRPr="00AB5EA7">
        <w:rPr>
          <w:rFonts w:asciiTheme="majorHAnsi" w:hAnsiTheme="majorHAnsi" w:cstheme="majorHAnsi"/>
          <w:b/>
          <w:bCs/>
        </w:rPr>
        <w:t>VIADO</w:t>
      </w:r>
    </w:p>
    <w:p w14:paraId="4686BE6D" w14:textId="2CCD5C61" w:rsidR="006534C0" w:rsidRPr="00AB5EA7" w:rsidRDefault="001A4BF5" w:rsidP="006534C0">
      <w:pPr>
        <w:jc w:val="center"/>
        <w:rPr>
          <w:rFonts w:asciiTheme="majorHAnsi" w:hAnsiTheme="majorHAnsi" w:cstheme="majorHAnsi"/>
          <w:sz w:val="18"/>
          <w:szCs w:val="18"/>
        </w:rPr>
      </w:pPr>
      <w:r w:rsidRPr="00AB5EA7">
        <w:rPr>
          <w:noProof/>
        </w:rPr>
        <w:drawing>
          <wp:inline distT="0" distB="0" distL="0" distR="0" wp14:anchorId="2B6F1148" wp14:editId="2166393F">
            <wp:extent cx="3498850" cy="1772920"/>
            <wp:effectExtent l="0" t="0" r="6350" b="0"/>
            <wp:docPr id="2052509965" name="Gráfico 1">
              <a:extLst xmlns:a="http://schemas.openxmlformats.org/drawingml/2006/main">
                <a:ext uri="{FF2B5EF4-FFF2-40B4-BE49-F238E27FC236}">
                  <a16:creationId xmlns:a16="http://schemas.microsoft.com/office/drawing/2014/main" id="{EBE44D12-01CE-B2EA-91EA-CC8A7D17069B}"/>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5"/>
              </a:graphicData>
            </a:graphic>
          </wp:inline>
        </w:drawing>
      </w:r>
      <w:r w:rsidRPr="00AB5EA7">
        <w:rPr>
          <w:noProof/>
        </w:rPr>
        <w:drawing>
          <wp:inline distT="0" distB="0" distL="0" distR="0" wp14:anchorId="4FD033C2" wp14:editId="667BF5D6">
            <wp:extent cx="3591560" cy="1605280"/>
            <wp:effectExtent l="0" t="0" r="8890" b="0"/>
            <wp:docPr id="266451274" name="Gráfico 1">
              <a:extLst xmlns:a="http://schemas.openxmlformats.org/drawingml/2006/main">
                <a:ext uri="{FF2B5EF4-FFF2-40B4-BE49-F238E27FC236}">
                  <a16:creationId xmlns:a16="http://schemas.microsoft.com/office/drawing/2014/main" id="{EA249962-B357-8DC6-9144-E08DB1576476}"/>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6"/>
              </a:graphicData>
            </a:graphic>
          </wp:inline>
        </w:drawing>
      </w:r>
      <w:r w:rsidR="006534C0" w:rsidRPr="00AB5EA7">
        <w:rPr>
          <w:rFonts w:asciiTheme="majorHAnsi" w:hAnsiTheme="majorHAnsi" w:cstheme="majorHAnsi"/>
          <w:sz w:val="18"/>
          <w:szCs w:val="18"/>
        </w:rPr>
        <w:t>En consonancia con la duración total de los procedimientos, el procedimiento abreviado ha tenido una duración total de</w:t>
      </w:r>
      <w:r w:rsidR="006534C0" w:rsidRPr="00AB5EA7">
        <w:rPr>
          <w:rFonts w:asciiTheme="majorHAnsi" w:hAnsiTheme="majorHAnsi" w:cstheme="majorHAnsi"/>
          <w:b/>
          <w:bCs/>
          <w:sz w:val="18"/>
          <w:szCs w:val="18"/>
        </w:rPr>
        <w:t xml:space="preserve"> 8,3</w:t>
      </w:r>
      <w:r w:rsidR="006534C0" w:rsidRPr="00AB5EA7">
        <w:rPr>
          <w:rFonts w:asciiTheme="majorHAnsi" w:hAnsiTheme="majorHAnsi" w:cstheme="majorHAnsi"/>
          <w:sz w:val="18"/>
          <w:szCs w:val="18"/>
        </w:rPr>
        <w:t xml:space="preserve"> meses, menos duración en relación al pasado año</w:t>
      </w:r>
      <w:r w:rsidR="00D843FF" w:rsidRPr="00AB5EA7">
        <w:rPr>
          <w:rFonts w:asciiTheme="majorHAnsi" w:hAnsiTheme="majorHAnsi" w:cstheme="majorHAnsi"/>
          <w:sz w:val="18"/>
          <w:szCs w:val="18"/>
        </w:rPr>
        <w:t>,</w:t>
      </w:r>
      <w:r w:rsidR="006534C0" w:rsidRPr="00AB5EA7">
        <w:rPr>
          <w:rFonts w:asciiTheme="majorHAnsi" w:hAnsiTheme="majorHAnsi" w:cstheme="majorHAnsi"/>
          <w:sz w:val="18"/>
          <w:szCs w:val="18"/>
        </w:rPr>
        <w:t xml:space="preserve"> y respecto del procedimiento ordinario se mantiene la misma duración habiendo disminuido la franja correspondiente al trámite prearbitral.</w:t>
      </w:r>
    </w:p>
    <w:p w14:paraId="7FF1D721" w14:textId="3A442973" w:rsidR="00F4654F" w:rsidRPr="00AB5EA7" w:rsidRDefault="00F4654F" w:rsidP="00F4654F">
      <w:pPr>
        <w:rPr>
          <w:rFonts w:asciiTheme="majorHAnsi" w:hAnsiTheme="majorHAnsi" w:cstheme="majorHAnsi"/>
          <w:sz w:val="18"/>
          <w:szCs w:val="18"/>
        </w:rPr>
      </w:pPr>
    </w:p>
    <w:p w14:paraId="31062E88" w14:textId="31FF8960" w:rsidR="00F64537" w:rsidRPr="00AB5EA7" w:rsidRDefault="00F64537" w:rsidP="006534C0">
      <w:pPr>
        <w:jc w:val="center"/>
        <w:rPr>
          <w:rFonts w:asciiTheme="majorHAnsi" w:hAnsiTheme="majorHAnsi" w:cstheme="majorHAnsi"/>
          <w:sz w:val="18"/>
          <w:szCs w:val="18"/>
        </w:rPr>
      </w:pPr>
      <w:r w:rsidRPr="00AB5EA7">
        <w:rPr>
          <w:noProof/>
        </w:rPr>
        <w:drawing>
          <wp:anchor distT="0" distB="0" distL="114300" distR="114300" simplePos="0" relativeHeight="251667456" behindDoc="1" locked="0" layoutInCell="1" allowOverlap="1" wp14:anchorId="2B30C64D" wp14:editId="6BDF84C8">
            <wp:simplePos x="0" y="0"/>
            <wp:positionH relativeFrom="column">
              <wp:posOffset>3896360</wp:posOffset>
            </wp:positionH>
            <wp:positionV relativeFrom="page">
              <wp:posOffset>7442200</wp:posOffset>
            </wp:positionV>
            <wp:extent cx="3346450" cy="2419350"/>
            <wp:effectExtent l="0" t="0" r="6350" b="0"/>
            <wp:wrapTight wrapText="bothSides">
              <wp:wrapPolygon edited="0">
                <wp:start x="0" y="0"/>
                <wp:lineTo x="0" y="21430"/>
                <wp:lineTo x="21518" y="21430"/>
                <wp:lineTo x="21518" y="0"/>
                <wp:lineTo x="0" y="0"/>
              </wp:wrapPolygon>
            </wp:wrapTight>
            <wp:docPr id="668624616" name="Gráfico 1">
              <a:extLst xmlns:a="http://schemas.openxmlformats.org/drawingml/2006/main">
                <a:ext uri="{FF2B5EF4-FFF2-40B4-BE49-F238E27FC236}">
                  <a16:creationId xmlns:a16="http://schemas.microsoft.com/office/drawing/2014/main" id="{5F68AC06-FEAE-4EB9-0AB7-29EFA1E546C2}"/>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7"/>
              </a:graphicData>
            </a:graphic>
            <wp14:sizeRelH relativeFrom="margin">
              <wp14:pctWidth>0</wp14:pctWidth>
            </wp14:sizeRelH>
            <wp14:sizeRelV relativeFrom="margin">
              <wp14:pctHeight>0</wp14:pctHeight>
            </wp14:sizeRelV>
          </wp:anchor>
        </w:drawing>
      </w:r>
    </w:p>
    <w:p w14:paraId="696692A8" w14:textId="734CD5DF" w:rsidR="006534C0" w:rsidRPr="00AB5EA7" w:rsidRDefault="006534C0" w:rsidP="006534C0">
      <w:pPr>
        <w:jc w:val="center"/>
        <w:rPr>
          <w:rFonts w:asciiTheme="majorHAnsi" w:hAnsiTheme="majorHAnsi" w:cstheme="majorHAnsi"/>
          <w:sz w:val="18"/>
          <w:szCs w:val="18"/>
        </w:rPr>
      </w:pPr>
      <w:r w:rsidRPr="00AB5EA7">
        <w:rPr>
          <w:rFonts w:asciiTheme="majorHAnsi" w:hAnsiTheme="majorHAnsi" w:cstheme="majorHAnsi"/>
          <w:sz w:val="18"/>
          <w:szCs w:val="18"/>
        </w:rPr>
        <w:t>Este año el cumplimiento voluntario de laudo supone el 75% de los laudos.</w:t>
      </w:r>
    </w:p>
    <w:p w14:paraId="1F1526D4" w14:textId="77777777" w:rsidR="006534C0" w:rsidRPr="00AB5EA7" w:rsidRDefault="006534C0" w:rsidP="006534C0">
      <w:pPr>
        <w:jc w:val="center"/>
        <w:rPr>
          <w:rFonts w:asciiTheme="majorHAnsi" w:hAnsiTheme="majorHAnsi" w:cstheme="majorHAnsi"/>
          <w:sz w:val="18"/>
          <w:szCs w:val="18"/>
        </w:rPr>
      </w:pPr>
      <w:r w:rsidRPr="00AB5EA7">
        <w:rPr>
          <w:rFonts w:asciiTheme="majorHAnsi" w:hAnsiTheme="majorHAnsi" w:cstheme="majorHAnsi"/>
          <w:sz w:val="18"/>
          <w:szCs w:val="18"/>
        </w:rPr>
        <w:t>Los laudos impugnados frente al TSJ de Catalunya suponen un 8%, porcentaje muy similar al del año 2023, si bien en los últimos tres años no ha habido ninguna nulidad de los laudos impugnados.</w:t>
      </w:r>
    </w:p>
    <w:p w14:paraId="097F46CB" w14:textId="77777777" w:rsidR="006534C0" w:rsidRPr="00AB5EA7" w:rsidRDefault="006534C0" w:rsidP="006534C0">
      <w:pPr>
        <w:jc w:val="center"/>
        <w:rPr>
          <w:rFonts w:asciiTheme="majorHAnsi" w:hAnsiTheme="majorHAnsi" w:cstheme="majorHAnsi"/>
          <w:sz w:val="18"/>
          <w:szCs w:val="18"/>
        </w:rPr>
      </w:pPr>
      <w:r w:rsidRPr="00AB5EA7">
        <w:rPr>
          <w:rFonts w:asciiTheme="majorHAnsi" w:hAnsiTheme="majorHAnsi" w:cstheme="majorHAnsi"/>
          <w:sz w:val="18"/>
          <w:szCs w:val="18"/>
        </w:rPr>
        <w:t>En cuanto a los laudos ejecutados judicialmente, el porcentaje es muy similar al del año pasado siendo de un 17%.</w:t>
      </w:r>
    </w:p>
    <w:p w14:paraId="3E471EE9" w14:textId="3A950FFB" w:rsidR="001A4BF5" w:rsidRPr="006534C0" w:rsidRDefault="001A4BF5" w:rsidP="00AF5248">
      <w:pPr>
        <w:jc w:val="right"/>
        <w:rPr>
          <w:rFonts w:asciiTheme="majorHAnsi" w:hAnsiTheme="majorHAnsi" w:cstheme="majorHAnsi"/>
          <w:sz w:val="18"/>
          <w:szCs w:val="18"/>
          <w:lang w:val="es-ES"/>
        </w:rPr>
      </w:pPr>
    </w:p>
    <w:sectPr w:rsidR="001A4BF5" w:rsidRPr="006534C0" w:rsidSect="00685C03">
      <w:headerReference w:type="default" r:id="rId18"/>
      <w:headerReference w:type="first" r:id="rId19"/>
      <w:footerReference w:type="first" r:id="rId20"/>
      <w:pgSz w:w="11906" w:h="16838"/>
      <w:pgMar w:top="1053" w:right="284" w:bottom="567" w:left="284" w:header="0" w:footer="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11A2DCA" w14:textId="77777777" w:rsidR="007E2294" w:rsidRPr="00AB5EA7" w:rsidRDefault="007E2294" w:rsidP="00650DEF">
      <w:pPr>
        <w:spacing w:after="0" w:line="240" w:lineRule="auto"/>
      </w:pPr>
      <w:r w:rsidRPr="00AB5EA7">
        <w:separator/>
      </w:r>
    </w:p>
  </w:endnote>
  <w:endnote w:type="continuationSeparator" w:id="0">
    <w:p w14:paraId="4F93C8C1" w14:textId="77777777" w:rsidR="007E2294" w:rsidRPr="00AB5EA7" w:rsidRDefault="007E2294" w:rsidP="00650DEF">
      <w:pPr>
        <w:spacing w:after="0" w:line="240" w:lineRule="auto"/>
      </w:pPr>
      <w:r w:rsidRPr="00AB5EA7">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NirmalaUI">
    <w:altName w:val="Calibri"/>
    <w:panose1 w:val="00000000000000000000"/>
    <w:charset w:val="00"/>
    <w:family w:val="swiss"/>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B18A7A5" w14:textId="77777777" w:rsidR="00650DEF" w:rsidRPr="00AB5EA7" w:rsidRDefault="00650DEF" w:rsidP="00650DEF">
    <w:pPr>
      <w:autoSpaceDE w:val="0"/>
      <w:autoSpaceDN w:val="0"/>
      <w:adjustRightInd w:val="0"/>
      <w:spacing w:after="0" w:line="240" w:lineRule="auto"/>
      <w:jc w:val="center"/>
      <w:rPr>
        <w:rFonts w:ascii="NirmalaUI" w:hAnsi="NirmalaUI" w:cs="NirmalaUI"/>
        <w:sz w:val="12"/>
        <w:szCs w:val="12"/>
      </w:rPr>
    </w:pPr>
    <w:r w:rsidRPr="00AB5EA7">
      <w:rPr>
        <w:rFonts w:ascii="NirmalaUI" w:hAnsi="NirmalaUI" w:cs="NirmalaUI"/>
        <w:sz w:val="12"/>
        <w:szCs w:val="12"/>
      </w:rPr>
      <w:t>Roger de Llúria, 113. 08037 Barcelona, Spain • T. (+34) 933 198 117 secretaria@tab.es • www.tab.es</w:t>
    </w:r>
  </w:p>
  <w:p w14:paraId="1BE41460" w14:textId="77777777" w:rsidR="00650DEF" w:rsidRPr="00AB5EA7" w:rsidRDefault="00650DEF" w:rsidP="00650DEF">
    <w:pPr>
      <w:autoSpaceDE w:val="0"/>
      <w:autoSpaceDN w:val="0"/>
      <w:adjustRightInd w:val="0"/>
      <w:spacing w:after="0" w:line="240" w:lineRule="auto"/>
      <w:jc w:val="center"/>
      <w:rPr>
        <w:rFonts w:ascii="NirmalaUI" w:hAnsi="NirmalaUI" w:cs="NirmalaUI"/>
        <w:sz w:val="12"/>
        <w:szCs w:val="12"/>
      </w:rPr>
    </w:pPr>
    <w:r w:rsidRPr="00AB5EA7">
      <w:rPr>
        <w:rFonts w:ascii="NirmalaUI" w:hAnsi="NirmalaUI" w:cs="NirmalaUI"/>
        <w:sz w:val="12"/>
        <w:szCs w:val="12"/>
      </w:rPr>
      <w:t>Tribunal Arbitral de Barcelona® · Tribunal Arbitral de Catalunya® Associació Catalana per a lʼArbitratge.</w:t>
    </w:r>
  </w:p>
  <w:p w14:paraId="17EE5988" w14:textId="77777777" w:rsidR="00650DEF" w:rsidRPr="00AB5EA7" w:rsidRDefault="00650DEF" w:rsidP="00650DEF">
    <w:pPr>
      <w:pStyle w:val="Piedepgina"/>
      <w:jc w:val="center"/>
      <w:rPr>
        <w:sz w:val="12"/>
        <w:szCs w:val="12"/>
      </w:rPr>
    </w:pPr>
    <w:r w:rsidRPr="00AB5EA7">
      <w:rPr>
        <w:rFonts w:ascii="NirmalaUI" w:hAnsi="NirmalaUI" w:cs="NirmalaUI"/>
        <w:sz w:val="12"/>
        <w:szCs w:val="12"/>
      </w:rPr>
      <w:t>CIF núm. G-58941964. Inscrita en el Registre dʼAssociacions de la Generalitat de Catalunya amb el núm. 10643.</w:t>
    </w:r>
  </w:p>
  <w:p w14:paraId="4CB8F420" w14:textId="77777777" w:rsidR="00650DEF" w:rsidRPr="00AB5EA7" w:rsidRDefault="00650DEF">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74B8D84" w14:textId="77777777" w:rsidR="007E2294" w:rsidRPr="00AB5EA7" w:rsidRDefault="007E2294" w:rsidP="00650DEF">
      <w:pPr>
        <w:spacing w:after="0" w:line="240" w:lineRule="auto"/>
      </w:pPr>
      <w:r w:rsidRPr="00AB5EA7">
        <w:separator/>
      </w:r>
    </w:p>
  </w:footnote>
  <w:footnote w:type="continuationSeparator" w:id="0">
    <w:p w14:paraId="40CCA123" w14:textId="77777777" w:rsidR="007E2294" w:rsidRPr="00AB5EA7" w:rsidRDefault="007E2294" w:rsidP="00650DEF">
      <w:pPr>
        <w:spacing w:after="0" w:line="240" w:lineRule="auto"/>
      </w:pPr>
      <w:r w:rsidRPr="00AB5EA7">
        <w:continuationSeparator/>
      </w:r>
    </w:p>
  </w:footnote>
  <w:footnote w:id="1">
    <w:p w14:paraId="22CECD73" w14:textId="2E473186" w:rsidR="005C6655" w:rsidRPr="00E725D8" w:rsidRDefault="005C6655" w:rsidP="005C6655">
      <w:pPr>
        <w:pStyle w:val="Textonotapie"/>
        <w:jc w:val="both"/>
        <w:rPr>
          <w:rFonts w:asciiTheme="majorHAnsi" w:hAnsiTheme="majorHAnsi" w:cstheme="majorHAnsi"/>
          <w:sz w:val="16"/>
          <w:szCs w:val="16"/>
          <w:lang w:val="es-ES"/>
        </w:rPr>
      </w:pPr>
      <w:r w:rsidRPr="00AB5EA7">
        <w:rPr>
          <w:rStyle w:val="Refdenotaalpie"/>
          <w:rFonts w:asciiTheme="majorHAnsi" w:hAnsiTheme="majorHAnsi" w:cstheme="majorHAnsi"/>
          <w:sz w:val="16"/>
          <w:szCs w:val="16"/>
        </w:rPr>
        <w:footnoteRef/>
      </w:r>
      <w:r w:rsidRPr="00AB5EA7">
        <w:rPr>
          <w:rFonts w:asciiTheme="majorHAnsi" w:hAnsiTheme="majorHAnsi" w:cstheme="majorHAnsi"/>
          <w:sz w:val="16"/>
          <w:szCs w:val="16"/>
        </w:rPr>
        <w:t xml:space="preserve"> </w:t>
      </w:r>
      <w:r w:rsidR="006534C0" w:rsidRPr="00AB5EA7">
        <w:rPr>
          <w:rFonts w:asciiTheme="majorHAnsi" w:hAnsiTheme="majorHAnsi" w:cstheme="majorHAnsi"/>
          <w:sz w:val="16"/>
          <w:szCs w:val="16"/>
        </w:rPr>
        <w:t xml:space="preserve">Los datos de la duración de los procedimientos se expresan con medias acotadas, excluyendo del cálculo los dos arbitrajes de menor y mayor duración por tener una visión más real. Destacamos igualmente que el procedimiento abreviado de menor duración ha sido de </w:t>
      </w:r>
      <w:r w:rsidRPr="00AB5EA7">
        <w:rPr>
          <w:rFonts w:asciiTheme="majorHAnsi" w:hAnsiTheme="majorHAnsi" w:cstheme="majorHAnsi"/>
          <w:b/>
          <w:bCs/>
          <w:sz w:val="16"/>
          <w:szCs w:val="16"/>
          <w:u w:val="single"/>
        </w:rPr>
        <w:t>7,2</w:t>
      </w:r>
      <w:r w:rsidRPr="00AB5EA7">
        <w:rPr>
          <w:rFonts w:asciiTheme="majorHAnsi" w:hAnsiTheme="majorHAnsi" w:cstheme="majorHAnsi"/>
          <w:sz w:val="16"/>
          <w:szCs w:val="16"/>
          <w:u w:val="single"/>
        </w:rPr>
        <w:t xml:space="preserve"> mes</w:t>
      </w:r>
      <w:r w:rsidR="006534C0" w:rsidRPr="00AB5EA7">
        <w:rPr>
          <w:rFonts w:asciiTheme="majorHAnsi" w:hAnsiTheme="majorHAnsi" w:cstheme="majorHAnsi"/>
          <w:sz w:val="16"/>
          <w:szCs w:val="16"/>
          <w:u w:val="single"/>
        </w:rPr>
        <w:t>e</w:t>
      </w:r>
      <w:r w:rsidRPr="00AB5EA7">
        <w:rPr>
          <w:rFonts w:asciiTheme="majorHAnsi" w:hAnsiTheme="majorHAnsi" w:cstheme="majorHAnsi"/>
          <w:sz w:val="16"/>
          <w:szCs w:val="16"/>
          <w:u w:val="single"/>
        </w:rPr>
        <w:t>s</w:t>
      </w:r>
      <w:r w:rsidRPr="00AB5EA7">
        <w:rPr>
          <w:rFonts w:asciiTheme="majorHAnsi" w:hAnsiTheme="majorHAnsi" w:cstheme="majorHAnsi"/>
          <w:sz w:val="16"/>
          <w:szCs w:val="16"/>
        </w:rPr>
        <w:t xml:space="preserve"> </w:t>
      </w:r>
      <w:r w:rsidR="006534C0" w:rsidRPr="00AB5EA7">
        <w:rPr>
          <w:rFonts w:asciiTheme="majorHAnsi" w:hAnsiTheme="majorHAnsi" w:cstheme="majorHAnsi"/>
          <w:sz w:val="16"/>
          <w:szCs w:val="16"/>
        </w:rPr>
        <w:t xml:space="preserve">y en el caso del procedimiento ordinario ha sido de </w:t>
      </w:r>
      <w:r w:rsidRPr="00AB5EA7">
        <w:rPr>
          <w:rFonts w:asciiTheme="majorHAnsi" w:hAnsiTheme="majorHAnsi" w:cstheme="majorHAnsi"/>
          <w:b/>
          <w:bCs/>
          <w:sz w:val="16"/>
          <w:szCs w:val="16"/>
          <w:u w:val="single"/>
        </w:rPr>
        <w:t>8,4</w:t>
      </w:r>
      <w:r w:rsidRPr="00AB5EA7">
        <w:rPr>
          <w:rFonts w:asciiTheme="majorHAnsi" w:hAnsiTheme="majorHAnsi" w:cstheme="majorHAnsi"/>
          <w:sz w:val="16"/>
          <w:szCs w:val="16"/>
          <w:u w:val="single"/>
        </w:rPr>
        <w:t xml:space="preserve"> mes</w:t>
      </w:r>
      <w:r w:rsidR="006534C0" w:rsidRPr="00AB5EA7">
        <w:rPr>
          <w:rFonts w:asciiTheme="majorHAnsi" w:hAnsiTheme="majorHAnsi" w:cstheme="majorHAnsi"/>
          <w:sz w:val="16"/>
          <w:szCs w:val="16"/>
          <w:u w:val="single"/>
        </w:rPr>
        <w:t>e</w:t>
      </w:r>
      <w:r w:rsidRPr="00AB5EA7">
        <w:rPr>
          <w:rFonts w:asciiTheme="majorHAnsi" w:hAnsiTheme="majorHAnsi" w:cstheme="majorHAnsi"/>
          <w:sz w:val="16"/>
          <w:szCs w:val="16"/>
          <w:u w:val="single"/>
        </w:rPr>
        <w:t>s</w:t>
      </w:r>
      <w:r w:rsidRPr="00AB5EA7">
        <w:rPr>
          <w:rFonts w:asciiTheme="majorHAnsi" w:hAnsiTheme="majorHAnsi" w:cstheme="majorHAnsi"/>
          <w:sz w:val="16"/>
          <w:szCs w:val="16"/>
        </w:rPr>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1794FEF" w14:textId="0AFC0CCE" w:rsidR="00650DEF" w:rsidRPr="00AB5EA7" w:rsidRDefault="00650DEF" w:rsidP="00650DEF">
    <w:pPr>
      <w:pStyle w:val="Encabezado"/>
      <w:jc w:val="right"/>
    </w:pPr>
    <w:r w:rsidRPr="00AB5EA7">
      <w:rPr>
        <w:noProof/>
      </w:rPr>
      <w:drawing>
        <wp:inline distT="0" distB="0" distL="0" distR="0" wp14:anchorId="0283F390" wp14:editId="39E8D46F">
          <wp:extent cx="647700" cy="647700"/>
          <wp:effectExtent l="0" t="0" r="0" b="0"/>
          <wp:docPr id="1276775803" name="Imagen 12767758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2521398" name=""/>
                  <pic:cNvPicPr/>
                </pic:nvPicPr>
                <pic:blipFill>
                  <a:blip r:embed="rId1"/>
                  <a:stretch>
                    <a:fillRect/>
                  </a:stretch>
                </pic:blipFill>
                <pic:spPr>
                  <a:xfrm>
                    <a:off x="0" y="0"/>
                    <a:ext cx="647700" cy="647700"/>
                  </a:xfrm>
                  <a:prstGeom prst="rect">
                    <a:avLst/>
                  </a:prstGeom>
                </pic:spPr>
              </pic:pic>
            </a:graphicData>
          </a:graphic>
        </wp:inline>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EF087DD" w14:textId="5EFC748D" w:rsidR="00650DEF" w:rsidRPr="00AB5EA7" w:rsidRDefault="00650DEF" w:rsidP="00650DEF">
    <w:pPr>
      <w:pStyle w:val="Encabezado"/>
      <w:jc w:val="right"/>
    </w:pPr>
    <w:r w:rsidRPr="00AB5EA7">
      <w:rPr>
        <w:noProof/>
      </w:rPr>
      <w:drawing>
        <wp:inline distT="0" distB="0" distL="0" distR="0" wp14:anchorId="16102FD9" wp14:editId="233CB019">
          <wp:extent cx="730250" cy="730250"/>
          <wp:effectExtent l="0" t="0" r="0" b="0"/>
          <wp:docPr id="1935085678" name="Imagen 19350856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2521398" name=""/>
                  <pic:cNvPicPr/>
                </pic:nvPicPr>
                <pic:blipFill>
                  <a:blip r:embed="rId1"/>
                  <a:stretch>
                    <a:fillRect/>
                  </a:stretch>
                </pic:blipFill>
                <pic:spPr>
                  <a:xfrm>
                    <a:off x="0" y="0"/>
                    <a:ext cx="730250" cy="730250"/>
                  </a:xfrm>
                  <a:prstGeom prst="rect">
                    <a:avLst/>
                  </a:prstGeom>
                </pic:spPr>
              </pic:pic>
            </a:graphicData>
          </a:graphic>
        </wp:inline>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B0BB6"/>
    <w:rsid w:val="000032C3"/>
    <w:rsid w:val="00004248"/>
    <w:rsid w:val="00022E10"/>
    <w:rsid w:val="00023A18"/>
    <w:rsid w:val="00024F2E"/>
    <w:rsid w:val="000449A4"/>
    <w:rsid w:val="00055CA2"/>
    <w:rsid w:val="000716E2"/>
    <w:rsid w:val="00082211"/>
    <w:rsid w:val="000D7214"/>
    <w:rsid w:val="000F36BD"/>
    <w:rsid w:val="00102B75"/>
    <w:rsid w:val="00114D29"/>
    <w:rsid w:val="001258D9"/>
    <w:rsid w:val="001566F7"/>
    <w:rsid w:val="00161B79"/>
    <w:rsid w:val="001A4BF5"/>
    <w:rsid w:val="001C7E8A"/>
    <w:rsid w:val="001D1EF7"/>
    <w:rsid w:val="00220170"/>
    <w:rsid w:val="00223A2F"/>
    <w:rsid w:val="00233F82"/>
    <w:rsid w:val="00251AE0"/>
    <w:rsid w:val="002836FD"/>
    <w:rsid w:val="00285A14"/>
    <w:rsid w:val="002C2D3C"/>
    <w:rsid w:val="002D5FC3"/>
    <w:rsid w:val="002D6768"/>
    <w:rsid w:val="002E1AAB"/>
    <w:rsid w:val="003363F2"/>
    <w:rsid w:val="0037442E"/>
    <w:rsid w:val="003A301D"/>
    <w:rsid w:val="003A6775"/>
    <w:rsid w:val="003A7EC4"/>
    <w:rsid w:val="003D29F9"/>
    <w:rsid w:val="003F77C6"/>
    <w:rsid w:val="00415103"/>
    <w:rsid w:val="00455266"/>
    <w:rsid w:val="00485D41"/>
    <w:rsid w:val="004A7D13"/>
    <w:rsid w:val="004E7F40"/>
    <w:rsid w:val="00525062"/>
    <w:rsid w:val="0052560F"/>
    <w:rsid w:val="00552245"/>
    <w:rsid w:val="00563352"/>
    <w:rsid w:val="005729AB"/>
    <w:rsid w:val="00576F20"/>
    <w:rsid w:val="00594125"/>
    <w:rsid w:val="00595388"/>
    <w:rsid w:val="005A42B7"/>
    <w:rsid w:val="005A6A36"/>
    <w:rsid w:val="005C501F"/>
    <w:rsid w:val="005C6655"/>
    <w:rsid w:val="005F2E1E"/>
    <w:rsid w:val="00620E5E"/>
    <w:rsid w:val="00624E97"/>
    <w:rsid w:val="006250CC"/>
    <w:rsid w:val="00644F60"/>
    <w:rsid w:val="0064686A"/>
    <w:rsid w:val="00650DEF"/>
    <w:rsid w:val="006534C0"/>
    <w:rsid w:val="00671FBD"/>
    <w:rsid w:val="00685C03"/>
    <w:rsid w:val="006A410C"/>
    <w:rsid w:val="006B0C97"/>
    <w:rsid w:val="006D5D92"/>
    <w:rsid w:val="006F715F"/>
    <w:rsid w:val="0070785D"/>
    <w:rsid w:val="007130BA"/>
    <w:rsid w:val="00717485"/>
    <w:rsid w:val="0072612B"/>
    <w:rsid w:val="00731826"/>
    <w:rsid w:val="00736DE2"/>
    <w:rsid w:val="00740CAD"/>
    <w:rsid w:val="00753F5D"/>
    <w:rsid w:val="007555C8"/>
    <w:rsid w:val="007A3FFD"/>
    <w:rsid w:val="007C1093"/>
    <w:rsid w:val="007E2294"/>
    <w:rsid w:val="007E4E39"/>
    <w:rsid w:val="007E54C9"/>
    <w:rsid w:val="007F1E6F"/>
    <w:rsid w:val="00810E2A"/>
    <w:rsid w:val="00826C45"/>
    <w:rsid w:val="0086146F"/>
    <w:rsid w:val="008B54C9"/>
    <w:rsid w:val="008C319C"/>
    <w:rsid w:val="008D748F"/>
    <w:rsid w:val="00905992"/>
    <w:rsid w:val="00926DA6"/>
    <w:rsid w:val="00942BBD"/>
    <w:rsid w:val="0096180D"/>
    <w:rsid w:val="00963585"/>
    <w:rsid w:val="009B67CD"/>
    <w:rsid w:val="009C3729"/>
    <w:rsid w:val="009D38ED"/>
    <w:rsid w:val="00A269E7"/>
    <w:rsid w:val="00A32B39"/>
    <w:rsid w:val="00A44419"/>
    <w:rsid w:val="00A518D2"/>
    <w:rsid w:val="00A8052B"/>
    <w:rsid w:val="00A958B2"/>
    <w:rsid w:val="00AA4A87"/>
    <w:rsid w:val="00AB5A6C"/>
    <w:rsid w:val="00AB5EA7"/>
    <w:rsid w:val="00AB6E8C"/>
    <w:rsid w:val="00AC6A9A"/>
    <w:rsid w:val="00AD2C0A"/>
    <w:rsid w:val="00AF5248"/>
    <w:rsid w:val="00B15F8E"/>
    <w:rsid w:val="00B3062B"/>
    <w:rsid w:val="00B42290"/>
    <w:rsid w:val="00BC4120"/>
    <w:rsid w:val="00BE611C"/>
    <w:rsid w:val="00BF181F"/>
    <w:rsid w:val="00C81808"/>
    <w:rsid w:val="00C821F2"/>
    <w:rsid w:val="00C908D1"/>
    <w:rsid w:val="00CB07A2"/>
    <w:rsid w:val="00CB0FBE"/>
    <w:rsid w:val="00CB252B"/>
    <w:rsid w:val="00CC0608"/>
    <w:rsid w:val="00CE36DF"/>
    <w:rsid w:val="00CF2051"/>
    <w:rsid w:val="00D069AD"/>
    <w:rsid w:val="00D069D2"/>
    <w:rsid w:val="00D1774E"/>
    <w:rsid w:val="00D449A2"/>
    <w:rsid w:val="00D51AE5"/>
    <w:rsid w:val="00D567CC"/>
    <w:rsid w:val="00D7620A"/>
    <w:rsid w:val="00D76262"/>
    <w:rsid w:val="00D840DA"/>
    <w:rsid w:val="00D843FF"/>
    <w:rsid w:val="00D862B6"/>
    <w:rsid w:val="00DB5598"/>
    <w:rsid w:val="00DC0A47"/>
    <w:rsid w:val="00E10A24"/>
    <w:rsid w:val="00E10DE5"/>
    <w:rsid w:val="00E24138"/>
    <w:rsid w:val="00E725D8"/>
    <w:rsid w:val="00E81FE4"/>
    <w:rsid w:val="00E86551"/>
    <w:rsid w:val="00E96079"/>
    <w:rsid w:val="00E962D8"/>
    <w:rsid w:val="00EA546A"/>
    <w:rsid w:val="00EA5687"/>
    <w:rsid w:val="00EB0BB6"/>
    <w:rsid w:val="00EB798E"/>
    <w:rsid w:val="00EF55B9"/>
    <w:rsid w:val="00F028E3"/>
    <w:rsid w:val="00F077E3"/>
    <w:rsid w:val="00F07C04"/>
    <w:rsid w:val="00F14A90"/>
    <w:rsid w:val="00F178D9"/>
    <w:rsid w:val="00F359B8"/>
    <w:rsid w:val="00F4654F"/>
    <w:rsid w:val="00F5644E"/>
    <w:rsid w:val="00F64537"/>
    <w:rsid w:val="00F71776"/>
    <w:rsid w:val="00FA1E7A"/>
    <w:rsid w:val="00FC33E2"/>
    <w:rsid w:val="00FD1290"/>
    <w:rsid w:val="00FF4903"/>
  </w:rsids>
  <m:mathPr>
    <m:mathFont m:val="Cambria Math"/>
    <m:brkBin m:val="before"/>
    <m:brkBinSub m:val="--"/>
    <m:smallFrac m:val="0"/>
    <m:dispDef/>
    <m:lMargin m:val="0"/>
    <m:rMargin m:val="0"/>
    <m:defJc m:val="centerGroup"/>
    <m:wrapIndent m:val="1440"/>
    <m:intLim m:val="subSup"/>
    <m:naryLim m:val="undOvr"/>
  </m:mathPr>
  <w:themeFontLang w:val="es-ES"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497B8F6"/>
  <w15:chartTrackingRefBased/>
  <w15:docId w15:val="{9AE0D9DA-F60C-417E-B0A1-32E54D26E97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s-E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lang w:val="es-ES_tradnl"/>
    </w:rPr>
  </w:style>
  <w:style w:type="paragraph" w:styleId="Ttulo1">
    <w:name w:val="heading 1"/>
    <w:basedOn w:val="Normal"/>
    <w:next w:val="Normal"/>
    <w:link w:val="Ttulo1Car"/>
    <w:uiPriority w:val="9"/>
    <w:qFormat/>
    <w:rsid w:val="00EB0BB6"/>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Ttulo2">
    <w:name w:val="heading 2"/>
    <w:basedOn w:val="Normal"/>
    <w:next w:val="Normal"/>
    <w:link w:val="Ttulo2Car"/>
    <w:uiPriority w:val="9"/>
    <w:semiHidden/>
    <w:unhideWhenUsed/>
    <w:qFormat/>
    <w:rsid w:val="00EB0BB6"/>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Ttulo3">
    <w:name w:val="heading 3"/>
    <w:basedOn w:val="Normal"/>
    <w:next w:val="Normal"/>
    <w:link w:val="Ttulo3Car"/>
    <w:uiPriority w:val="9"/>
    <w:semiHidden/>
    <w:unhideWhenUsed/>
    <w:qFormat/>
    <w:rsid w:val="00EB0BB6"/>
    <w:pPr>
      <w:keepNext/>
      <w:keepLines/>
      <w:spacing w:before="160" w:after="80"/>
      <w:outlineLvl w:val="2"/>
    </w:pPr>
    <w:rPr>
      <w:rFonts w:eastAsiaTheme="majorEastAsia" w:cstheme="majorBidi"/>
      <w:color w:val="2F5496" w:themeColor="accent1" w:themeShade="BF"/>
      <w:sz w:val="28"/>
      <w:szCs w:val="28"/>
    </w:rPr>
  </w:style>
  <w:style w:type="paragraph" w:styleId="Ttulo4">
    <w:name w:val="heading 4"/>
    <w:basedOn w:val="Normal"/>
    <w:next w:val="Normal"/>
    <w:link w:val="Ttulo4Car"/>
    <w:uiPriority w:val="9"/>
    <w:semiHidden/>
    <w:unhideWhenUsed/>
    <w:qFormat/>
    <w:rsid w:val="00EB0BB6"/>
    <w:pPr>
      <w:keepNext/>
      <w:keepLines/>
      <w:spacing w:before="80" w:after="40"/>
      <w:outlineLvl w:val="3"/>
    </w:pPr>
    <w:rPr>
      <w:rFonts w:eastAsiaTheme="majorEastAsia" w:cstheme="majorBidi"/>
      <w:i/>
      <w:iCs/>
      <w:color w:val="2F5496" w:themeColor="accent1" w:themeShade="BF"/>
    </w:rPr>
  </w:style>
  <w:style w:type="paragraph" w:styleId="Ttulo5">
    <w:name w:val="heading 5"/>
    <w:basedOn w:val="Normal"/>
    <w:next w:val="Normal"/>
    <w:link w:val="Ttulo5Car"/>
    <w:uiPriority w:val="9"/>
    <w:semiHidden/>
    <w:unhideWhenUsed/>
    <w:qFormat/>
    <w:rsid w:val="00EB0BB6"/>
    <w:pPr>
      <w:keepNext/>
      <w:keepLines/>
      <w:spacing w:before="80" w:after="40"/>
      <w:outlineLvl w:val="4"/>
    </w:pPr>
    <w:rPr>
      <w:rFonts w:eastAsiaTheme="majorEastAsia" w:cstheme="majorBidi"/>
      <w:color w:val="2F5496" w:themeColor="accent1" w:themeShade="BF"/>
    </w:rPr>
  </w:style>
  <w:style w:type="paragraph" w:styleId="Ttulo6">
    <w:name w:val="heading 6"/>
    <w:basedOn w:val="Normal"/>
    <w:next w:val="Normal"/>
    <w:link w:val="Ttulo6Car"/>
    <w:uiPriority w:val="9"/>
    <w:semiHidden/>
    <w:unhideWhenUsed/>
    <w:qFormat/>
    <w:rsid w:val="00EB0BB6"/>
    <w:pPr>
      <w:keepNext/>
      <w:keepLines/>
      <w:spacing w:before="40" w:after="0"/>
      <w:outlineLvl w:val="5"/>
    </w:pPr>
    <w:rPr>
      <w:rFonts w:eastAsiaTheme="majorEastAsia" w:cstheme="majorBidi"/>
      <w:i/>
      <w:iCs/>
      <w:color w:val="595959" w:themeColor="text1" w:themeTint="A6"/>
    </w:rPr>
  </w:style>
  <w:style w:type="paragraph" w:styleId="Ttulo7">
    <w:name w:val="heading 7"/>
    <w:basedOn w:val="Normal"/>
    <w:next w:val="Normal"/>
    <w:link w:val="Ttulo7Car"/>
    <w:uiPriority w:val="9"/>
    <w:semiHidden/>
    <w:unhideWhenUsed/>
    <w:qFormat/>
    <w:rsid w:val="00EB0BB6"/>
    <w:pPr>
      <w:keepNext/>
      <w:keepLines/>
      <w:spacing w:before="40" w:after="0"/>
      <w:outlineLvl w:val="6"/>
    </w:pPr>
    <w:rPr>
      <w:rFonts w:eastAsiaTheme="majorEastAsia" w:cstheme="majorBidi"/>
      <w:color w:val="595959" w:themeColor="text1" w:themeTint="A6"/>
    </w:rPr>
  </w:style>
  <w:style w:type="paragraph" w:styleId="Ttulo8">
    <w:name w:val="heading 8"/>
    <w:basedOn w:val="Normal"/>
    <w:next w:val="Normal"/>
    <w:link w:val="Ttulo8Car"/>
    <w:uiPriority w:val="9"/>
    <w:semiHidden/>
    <w:unhideWhenUsed/>
    <w:qFormat/>
    <w:rsid w:val="00EB0BB6"/>
    <w:pPr>
      <w:keepNext/>
      <w:keepLines/>
      <w:spacing w:after="0"/>
      <w:outlineLvl w:val="7"/>
    </w:pPr>
    <w:rPr>
      <w:rFonts w:eastAsiaTheme="majorEastAsia" w:cstheme="majorBidi"/>
      <w:i/>
      <w:iCs/>
      <w:color w:val="272727" w:themeColor="text1" w:themeTint="D8"/>
    </w:rPr>
  </w:style>
  <w:style w:type="paragraph" w:styleId="Ttulo9">
    <w:name w:val="heading 9"/>
    <w:basedOn w:val="Normal"/>
    <w:next w:val="Normal"/>
    <w:link w:val="Ttulo9Car"/>
    <w:uiPriority w:val="9"/>
    <w:semiHidden/>
    <w:unhideWhenUsed/>
    <w:qFormat/>
    <w:rsid w:val="00EB0BB6"/>
    <w:pPr>
      <w:keepNext/>
      <w:keepLines/>
      <w:spacing w:after="0"/>
      <w:outlineLvl w:val="8"/>
    </w:pPr>
    <w:rPr>
      <w:rFonts w:eastAsiaTheme="majorEastAsia" w:cstheme="majorBidi"/>
      <w:color w:val="272727" w:themeColor="text1" w:themeTint="D8"/>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EB0BB6"/>
    <w:rPr>
      <w:rFonts w:asciiTheme="majorHAnsi" w:eastAsiaTheme="majorEastAsia" w:hAnsiTheme="majorHAnsi" w:cstheme="majorBidi"/>
      <w:color w:val="2F5496" w:themeColor="accent1" w:themeShade="BF"/>
      <w:sz w:val="40"/>
      <w:szCs w:val="40"/>
      <w:lang w:val="es-ES_tradnl"/>
    </w:rPr>
  </w:style>
  <w:style w:type="character" w:customStyle="1" w:styleId="Ttulo2Car">
    <w:name w:val="Título 2 Car"/>
    <w:basedOn w:val="Fuentedeprrafopredeter"/>
    <w:link w:val="Ttulo2"/>
    <w:uiPriority w:val="9"/>
    <w:semiHidden/>
    <w:rsid w:val="00EB0BB6"/>
    <w:rPr>
      <w:rFonts w:asciiTheme="majorHAnsi" w:eastAsiaTheme="majorEastAsia" w:hAnsiTheme="majorHAnsi" w:cstheme="majorBidi"/>
      <w:color w:val="2F5496" w:themeColor="accent1" w:themeShade="BF"/>
      <w:sz w:val="32"/>
      <w:szCs w:val="32"/>
      <w:lang w:val="es-ES_tradnl"/>
    </w:rPr>
  </w:style>
  <w:style w:type="character" w:customStyle="1" w:styleId="Ttulo3Car">
    <w:name w:val="Título 3 Car"/>
    <w:basedOn w:val="Fuentedeprrafopredeter"/>
    <w:link w:val="Ttulo3"/>
    <w:uiPriority w:val="9"/>
    <w:semiHidden/>
    <w:rsid w:val="00EB0BB6"/>
    <w:rPr>
      <w:rFonts w:eastAsiaTheme="majorEastAsia" w:cstheme="majorBidi"/>
      <w:color w:val="2F5496" w:themeColor="accent1" w:themeShade="BF"/>
      <w:sz w:val="28"/>
      <w:szCs w:val="28"/>
      <w:lang w:val="es-ES_tradnl"/>
    </w:rPr>
  </w:style>
  <w:style w:type="character" w:customStyle="1" w:styleId="Ttulo4Car">
    <w:name w:val="Título 4 Car"/>
    <w:basedOn w:val="Fuentedeprrafopredeter"/>
    <w:link w:val="Ttulo4"/>
    <w:uiPriority w:val="9"/>
    <w:semiHidden/>
    <w:rsid w:val="00EB0BB6"/>
    <w:rPr>
      <w:rFonts w:eastAsiaTheme="majorEastAsia" w:cstheme="majorBidi"/>
      <w:i/>
      <w:iCs/>
      <w:color w:val="2F5496" w:themeColor="accent1" w:themeShade="BF"/>
      <w:lang w:val="es-ES_tradnl"/>
    </w:rPr>
  </w:style>
  <w:style w:type="character" w:customStyle="1" w:styleId="Ttulo5Car">
    <w:name w:val="Título 5 Car"/>
    <w:basedOn w:val="Fuentedeprrafopredeter"/>
    <w:link w:val="Ttulo5"/>
    <w:uiPriority w:val="9"/>
    <w:semiHidden/>
    <w:rsid w:val="00EB0BB6"/>
    <w:rPr>
      <w:rFonts w:eastAsiaTheme="majorEastAsia" w:cstheme="majorBidi"/>
      <w:color w:val="2F5496" w:themeColor="accent1" w:themeShade="BF"/>
      <w:lang w:val="es-ES_tradnl"/>
    </w:rPr>
  </w:style>
  <w:style w:type="character" w:customStyle="1" w:styleId="Ttulo6Car">
    <w:name w:val="Título 6 Car"/>
    <w:basedOn w:val="Fuentedeprrafopredeter"/>
    <w:link w:val="Ttulo6"/>
    <w:uiPriority w:val="9"/>
    <w:semiHidden/>
    <w:rsid w:val="00EB0BB6"/>
    <w:rPr>
      <w:rFonts w:eastAsiaTheme="majorEastAsia" w:cstheme="majorBidi"/>
      <w:i/>
      <w:iCs/>
      <w:color w:val="595959" w:themeColor="text1" w:themeTint="A6"/>
      <w:lang w:val="es-ES_tradnl"/>
    </w:rPr>
  </w:style>
  <w:style w:type="character" w:customStyle="1" w:styleId="Ttulo7Car">
    <w:name w:val="Título 7 Car"/>
    <w:basedOn w:val="Fuentedeprrafopredeter"/>
    <w:link w:val="Ttulo7"/>
    <w:uiPriority w:val="9"/>
    <w:semiHidden/>
    <w:rsid w:val="00EB0BB6"/>
    <w:rPr>
      <w:rFonts w:eastAsiaTheme="majorEastAsia" w:cstheme="majorBidi"/>
      <w:color w:val="595959" w:themeColor="text1" w:themeTint="A6"/>
      <w:lang w:val="es-ES_tradnl"/>
    </w:rPr>
  </w:style>
  <w:style w:type="character" w:customStyle="1" w:styleId="Ttulo8Car">
    <w:name w:val="Título 8 Car"/>
    <w:basedOn w:val="Fuentedeprrafopredeter"/>
    <w:link w:val="Ttulo8"/>
    <w:uiPriority w:val="9"/>
    <w:semiHidden/>
    <w:rsid w:val="00EB0BB6"/>
    <w:rPr>
      <w:rFonts w:eastAsiaTheme="majorEastAsia" w:cstheme="majorBidi"/>
      <w:i/>
      <w:iCs/>
      <w:color w:val="272727" w:themeColor="text1" w:themeTint="D8"/>
      <w:lang w:val="es-ES_tradnl"/>
    </w:rPr>
  </w:style>
  <w:style w:type="character" w:customStyle="1" w:styleId="Ttulo9Car">
    <w:name w:val="Título 9 Car"/>
    <w:basedOn w:val="Fuentedeprrafopredeter"/>
    <w:link w:val="Ttulo9"/>
    <w:uiPriority w:val="9"/>
    <w:semiHidden/>
    <w:rsid w:val="00EB0BB6"/>
    <w:rPr>
      <w:rFonts w:eastAsiaTheme="majorEastAsia" w:cstheme="majorBidi"/>
      <w:color w:val="272727" w:themeColor="text1" w:themeTint="D8"/>
      <w:lang w:val="es-ES_tradnl"/>
    </w:rPr>
  </w:style>
  <w:style w:type="paragraph" w:styleId="Ttulo">
    <w:name w:val="Title"/>
    <w:basedOn w:val="Normal"/>
    <w:next w:val="Normal"/>
    <w:link w:val="TtuloCar"/>
    <w:uiPriority w:val="10"/>
    <w:qFormat/>
    <w:rsid w:val="00EB0BB6"/>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tuloCar">
    <w:name w:val="Título Car"/>
    <w:basedOn w:val="Fuentedeprrafopredeter"/>
    <w:link w:val="Ttulo"/>
    <w:uiPriority w:val="10"/>
    <w:rsid w:val="00EB0BB6"/>
    <w:rPr>
      <w:rFonts w:asciiTheme="majorHAnsi" w:eastAsiaTheme="majorEastAsia" w:hAnsiTheme="majorHAnsi" w:cstheme="majorBidi"/>
      <w:spacing w:val="-10"/>
      <w:kern w:val="28"/>
      <w:sz w:val="56"/>
      <w:szCs w:val="56"/>
      <w:lang w:val="es-ES_tradnl"/>
    </w:rPr>
  </w:style>
  <w:style w:type="paragraph" w:styleId="Subttulo">
    <w:name w:val="Subtitle"/>
    <w:basedOn w:val="Normal"/>
    <w:next w:val="Normal"/>
    <w:link w:val="SubttuloCar"/>
    <w:uiPriority w:val="11"/>
    <w:qFormat/>
    <w:rsid w:val="00EB0BB6"/>
    <w:pPr>
      <w:numPr>
        <w:ilvl w:val="1"/>
      </w:numPr>
    </w:pPr>
    <w:rPr>
      <w:rFonts w:eastAsiaTheme="majorEastAsia" w:cstheme="majorBidi"/>
      <w:color w:val="595959" w:themeColor="text1" w:themeTint="A6"/>
      <w:spacing w:val="15"/>
      <w:sz w:val="28"/>
      <w:szCs w:val="28"/>
    </w:rPr>
  </w:style>
  <w:style w:type="character" w:customStyle="1" w:styleId="SubttuloCar">
    <w:name w:val="Subtítulo Car"/>
    <w:basedOn w:val="Fuentedeprrafopredeter"/>
    <w:link w:val="Subttulo"/>
    <w:uiPriority w:val="11"/>
    <w:rsid w:val="00EB0BB6"/>
    <w:rPr>
      <w:rFonts w:eastAsiaTheme="majorEastAsia" w:cstheme="majorBidi"/>
      <w:color w:val="595959" w:themeColor="text1" w:themeTint="A6"/>
      <w:spacing w:val="15"/>
      <w:sz w:val="28"/>
      <w:szCs w:val="28"/>
      <w:lang w:val="es-ES_tradnl"/>
    </w:rPr>
  </w:style>
  <w:style w:type="paragraph" w:styleId="Cita">
    <w:name w:val="Quote"/>
    <w:basedOn w:val="Normal"/>
    <w:next w:val="Normal"/>
    <w:link w:val="CitaCar"/>
    <w:uiPriority w:val="29"/>
    <w:qFormat/>
    <w:rsid w:val="00EB0BB6"/>
    <w:pPr>
      <w:spacing w:before="160"/>
      <w:jc w:val="center"/>
    </w:pPr>
    <w:rPr>
      <w:i/>
      <w:iCs/>
      <w:color w:val="404040" w:themeColor="text1" w:themeTint="BF"/>
    </w:rPr>
  </w:style>
  <w:style w:type="character" w:customStyle="1" w:styleId="CitaCar">
    <w:name w:val="Cita Car"/>
    <w:basedOn w:val="Fuentedeprrafopredeter"/>
    <w:link w:val="Cita"/>
    <w:uiPriority w:val="29"/>
    <w:rsid w:val="00EB0BB6"/>
    <w:rPr>
      <w:i/>
      <w:iCs/>
      <w:color w:val="404040" w:themeColor="text1" w:themeTint="BF"/>
      <w:lang w:val="es-ES_tradnl"/>
    </w:rPr>
  </w:style>
  <w:style w:type="paragraph" w:styleId="Prrafodelista">
    <w:name w:val="List Paragraph"/>
    <w:basedOn w:val="Normal"/>
    <w:uiPriority w:val="34"/>
    <w:qFormat/>
    <w:rsid w:val="00EB0BB6"/>
    <w:pPr>
      <w:ind w:left="720"/>
      <w:contextualSpacing/>
    </w:pPr>
  </w:style>
  <w:style w:type="character" w:styleId="nfasisintenso">
    <w:name w:val="Intense Emphasis"/>
    <w:basedOn w:val="Fuentedeprrafopredeter"/>
    <w:uiPriority w:val="21"/>
    <w:qFormat/>
    <w:rsid w:val="00EB0BB6"/>
    <w:rPr>
      <w:i/>
      <w:iCs/>
      <w:color w:val="2F5496" w:themeColor="accent1" w:themeShade="BF"/>
    </w:rPr>
  </w:style>
  <w:style w:type="paragraph" w:styleId="Citadestacada">
    <w:name w:val="Intense Quote"/>
    <w:basedOn w:val="Normal"/>
    <w:next w:val="Normal"/>
    <w:link w:val="CitadestacadaCar"/>
    <w:uiPriority w:val="30"/>
    <w:qFormat/>
    <w:rsid w:val="00EB0BB6"/>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CitadestacadaCar">
    <w:name w:val="Cita destacada Car"/>
    <w:basedOn w:val="Fuentedeprrafopredeter"/>
    <w:link w:val="Citadestacada"/>
    <w:uiPriority w:val="30"/>
    <w:rsid w:val="00EB0BB6"/>
    <w:rPr>
      <w:i/>
      <w:iCs/>
      <w:color w:val="2F5496" w:themeColor="accent1" w:themeShade="BF"/>
      <w:lang w:val="es-ES_tradnl"/>
    </w:rPr>
  </w:style>
  <w:style w:type="character" w:styleId="Referenciaintensa">
    <w:name w:val="Intense Reference"/>
    <w:basedOn w:val="Fuentedeprrafopredeter"/>
    <w:uiPriority w:val="32"/>
    <w:qFormat/>
    <w:rsid w:val="00EB0BB6"/>
    <w:rPr>
      <w:b/>
      <w:bCs/>
      <w:smallCaps/>
      <w:color w:val="2F5496" w:themeColor="accent1" w:themeShade="BF"/>
      <w:spacing w:val="5"/>
    </w:rPr>
  </w:style>
  <w:style w:type="paragraph" w:styleId="Encabezado">
    <w:name w:val="header"/>
    <w:basedOn w:val="Normal"/>
    <w:link w:val="EncabezadoCar"/>
    <w:uiPriority w:val="99"/>
    <w:unhideWhenUsed/>
    <w:rsid w:val="00650DEF"/>
    <w:pPr>
      <w:tabs>
        <w:tab w:val="center" w:pos="4252"/>
        <w:tab w:val="right" w:pos="8504"/>
      </w:tabs>
      <w:spacing w:after="0" w:line="240" w:lineRule="auto"/>
    </w:pPr>
  </w:style>
  <w:style w:type="character" w:customStyle="1" w:styleId="EncabezadoCar">
    <w:name w:val="Encabezado Car"/>
    <w:basedOn w:val="Fuentedeprrafopredeter"/>
    <w:link w:val="Encabezado"/>
    <w:uiPriority w:val="99"/>
    <w:rsid w:val="00650DEF"/>
    <w:rPr>
      <w:lang w:val="es-ES_tradnl"/>
    </w:rPr>
  </w:style>
  <w:style w:type="paragraph" w:styleId="Piedepgina">
    <w:name w:val="footer"/>
    <w:basedOn w:val="Normal"/>
    <w:link w:val="PiedepginaCar"/>
    <w:unhideWhenUsed/>
    <w:rsid w:val="00650DEF"/>
    <w:pPr>
      <w:tabs>
        <w:tab w:val="center" w:pos="4252"/>
        <w:tab w:val="right" w:pos="8504"/>
      </w:tabs>
      <w:spacing w:after="0" w:line="240" w:lineRule="auto"/>
    </w:pPr>
  </w:style>
  <w:style w:type="character" w:customStyle="1" w:styleId="PiedepginaCar">
    <w:name w:val="Pie de página Car"/>
    <w:basedOn w:val="Fuentedeprrafopredeter"/>
    <w:link w:val="Piedepgina"/>
    <w:uiPriority w:val="99"/>
    <w:rsid w:val="00650DEF"/>
    <w:rPr>
      <w:lang w:val="es-ES_tradnl"/>
    </w:rPr>
  </w:style>
  <w:style w:type="character" w:styleId="Refdecomentario">
    <w:name w:val="annotation reference"/>
    <w:basedOn w:val="Fuentedeprrafopredeter"/>
    <w:uiPriority w:val="99"/>
    <w:semiHidden/>
    <w:unhideWhenUsed/>
    <w:rsid w:val="00753F5D"/>
    <w:rPr>
      <w:sz w:val="16"/>
      <w:szCs w:val="16"/>
    </w:rPr>
  </w:style>
  <w:style w:type="paragraph" w:styleId="Textocomentario">
    <w:name w:val="annotation text"/>
    <w:basedOn w:val="Normal"/>
    <w:link w:val="TextocomentarioCar"/>
    <w:uiPriority w:val="99"/>
    <w:semiHidden/>
    <w:unhideWhenUsed/>
    <w:rsid w:val="00753F5D"/>
    <w:pPr>
      <w:spacing w:line="240" w:lineRule="auto"/>
    </w:pPr>
    <w:rPr>
      <w:sz w:val="20"/>
      <w:szCs w:val="20"/>
    </w:rPr>
  </w:style>
  <w:style w:type="character" w:customStyle="1" w:styleId="TextocomentarioCar">
    <w:name w:val="Texto comentario Car"/>
    <w:basedOn w:val="Fuentedeprrafopredeter"/>
    <w:link w:val="Textocomentario"/>
    <w:uiPriority w:val="99"/>
    <w:semiHidden/>
    <w:rsid w:val="00753F5D"/>
    <w:rPr>
      <w:sz w:val="20"/>
      <w:szCs w:val="20"/>
      <w:lang w:val="es-ES_tradnl"/>
    </w:rPr>
  </w:style>
  <w:style w:type="paragraph" w:styleId="Asuntodelcomentario">
    <w:name w:val="annotation subject"/>
    <w:basedOn w:val="Textocomentario"/>
    <w:next w:val="Textocomentario"/>
    <w:link w:val="AsuntodelcomentarioCar"/>
    <w:uiPriority w:val="99"/>
    <w:semiHidden/>
    <w:unhideWhenUsed/>
    <w:rsid w:val="00753F5D"/>
    <w:rPr>
      <w:b/>
      <w:bCs/>
    </w:rPr>
  </w:style>
  <w:style w:type="character" w:customStyle="1" w:styleId="AsuntodelcomentarioCar">
    <w:name w:val="Asunto del comentario Car"/>
    <w:basedOn w:val="TextocomentarioCar"/>
    <w:link w:val="Asuntodelcomentario"/>
    <w:uiPriority w:val="99"/>
    <w:semiHidden/>
    <w:rsid w:val="00753F5D"/>
    <w:rPr>
      <w:b/>
      <w:bCs/>
      <w:sz w:val="20"/>
      <w:szCs w:val="20"/>
      <w:lang w:val="es-ES_tradnl"/>
    </w:rPr>
  </w:style>
  <w:style w:type="paragraph" w:styleId="Revisin">
    <w:name w:val="Revision"/>
    <w:hidden/>
    <w:uiPriority w:val="99"/>
    <w:semiHidden/>
    <w:rsid w:val="00753F5D"/>
    <w:pPr>
      <w:spacing w:after="0" w:line="240" w:lineRule="auto"/>
    </w:pPr>
    <w:rPr>
      <w:lang w:val="es-ES_tradnl"/>
    </w:rPr>
  </w:style>
  <w:style w:type="paragraph" w:styleId="Textonotapie">
    <w:name w:val="footnote text"/>
    <w:basedOn w:val="Normal"/>
    <w:link w:val="TextonotapieCar"/>
    <w:uiPriority w:val="99"/>
    <w:semiHidden/>
    <w:unhideWhenUsed/>
    <w:rsid w:val="00A958B2"/>
    <w:pPr>
      <w:spacing w:after="0" w:line="240" w:lineRule="auto"/>
    </w:pPr>
    <w:rPr>
      <w:sz w:val="20"/>
      <w:szCs w:val="20"/>
    </w:rPr>
  </w:style>
  <w:style w:type="character" w:customStyle="1" w:styleId="TextonotapieCar">
    <w:name w:val="Texto nota pie Car"/>
    <w:basedOn w:val="Fuentedeprrafopredeter"/>
    <w:link w:val="Textonotapie"/>
    <w:uiPriority w:val="99"/>
    <w:semiHidden/>
    <w:rsid w:val="00A958B2"/>
    <w:rPr>
      <w:sz w:val="20"/>
      <w:szCs w:val="20"/>
      <w:lang w:val="ca-ES"/>
    </w:rPr>
  </w:style>
  <w:style w:type="character" w:styleId="Refdenotaalpie">
    <w:name w:val="footnote reference"/>
    <w:basedOn w:val="Fuentedeprrafopredeter"/>
    <w:uiPriority w:val="99"/>
    <w:semiHidden/>
    <w:unhideWhenUsed/>
    <w:rsid w:val="00A958B2"/>
    <w:rPr>
      <w:vertAlign w:val="superscript"/>
    </w:rPr>
  </w:style>
  <w:style w:type="paragraph" w:styleId="HTMLconformatoprevio">
    <w:name w:val="HTML Preformatted"/>
    <w:basedOn w:val="Normal"/>
    <w:link w:val="HTMLconformatoprevioCar"/>
    <w:uiPriority w:val="99"/>
    <w:semiHidden/>
    <w:unhideWhenUsed/>
    <w:rsid w:val="006534C0"/>
    <w:pPr>
      <w:spacing w:after="0" w:line="240" w:lineRule="auto"/>
    </w:pPr>
    <w:rPr>
      <w:rFonts w:ascii="Consolas" w:hAnsi="Consolas"/>
      <w:sz w:val="20"/>
      <w:szCs w:val="20"/>
    </w:rPr>
  </w:style>
  <w:style w:type="character" w:customStyle="1" w:styleId="HTMLconformatoprevioCar">
    <w:name w:val="HTML con formato previo Car"/>
    <w:basedOn w:val="Fuentedeprrafopredeter"/>
    <w:link w:val="HTMLconformatoprevio"/>
    <w:uiPriority w:val="99"/>
    <w:semiHidden/>
    <w:rsid w:val="006534C0"/>
    <w:rPr>
      <w:rFonts w:ascii="Consolas" w:hAnsi="Consolas"/>
      <w:sz w:val="20"/>
      <w:szCs w:val="20"/>
      <w:lang w:val="ca-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chart" Target="charts/chart2.xml"/><Relationship Id="rId13" Type="http://schemas.openxmlformats.org/officeDocument/2006/relationships/chart" Target="charts/chart7.xml"/><Relationship Id="rId18" Type="http://schemas.openxmlformats.org/officeDocument/2006/relationships/header" Target="header1.xml"/><Relationship Id="rId3" Type="http://schemas.openxmlformats.org/officeDocument/2006/relationships/settings" Target="settings.xml"/><Relationship Id="rId21" Type="http://schemas.openxmlformats.org/officeDocument/2006/relationships/fontTable" Target="fontTable.xml"/><Relationship Id="rId7" Type="http://schemas.openxmlformats.org/officeDocument/2006/relationships/chart" Target="charts/chart1.xml"/><Relationship Id="rId12" Type="http://schemas.openxmlformats.org/officeDocument/2006/relationships/chart" Target="charts/chart6.xml"/><Relationship Id="rId17" Type="http://schemas.openxmlformats.org/officeDocument/2006/relationships/chart" Target="charts/chart11.xml"/><Relationship Id="rId2" Type="http://schemas.openxmlformats.org/officeDocument/2006/relationships/styles" Target="styles.xml"/><Relationship Id="rId16" Type="http://schemas.openxmlformats.org/officeDocument/2006/relationships/chart" Target="charts/chart10.xml"/><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chart" Target="charts/chart5.xml"/><Relationship Id="rId5" Type="http://schemas.openxmlformats.org/officeDocument/2006/relationships/footnotes" Target="footnotes.xml"/><Relationship Id="rId15" Type="http://schemas.openxmlformats.org/officeDocument/2006/relationships/chart" Target="charts/chart9.xml"/><Relationship Id="rId10" Type="http://schemas.openxmlformats.org/officeDocument/2006/relationships/chart" Target="charts/chart4.xml"/><Relationship Id="rId19"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chart" Target="charts/chart3.xml"/><Relationship Id="rId14" Type="http://schemas.openxmlformats.org/officeDocument/2006/relationships/chart" Target="charts/chart8.xml"/><Relationship Id="rId22"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charts/_rels/chart1.xml.rels><?xml version="1.0" encoding="UTF-8" standalone="yes"?>
<Relationships xmlns="http://schemas.openxmlformats.org/package/2006/relationships"><Relationship Id="rId3" Type="http://schemas.openxmlformats.org/officeDocument/2006/relationships/themeOverride" Target="../theme/themeOverride1.xml"/><Relationship Id="rId2" Type="http://schemas.microsoft.com/office/2011/relationships/chartColorStyle" Target="colors1.xml"/><Relationship Id="rId1" Type="http://schemas.microsoft.com/office/2011/relationships/chartStyle" Target="style1.xml"/><Relationship Id="rId5" Type="http://schemas.openxmlformats.org/officeDocument/2006/relationships/chartUserShapes" Target="../drawings/drawing1.xml"/><Relationship Id="rId4" Type="http://schemas.openxmlformats.org/officeDocument/2006/relationships/package" Target="../embeddings/Microsoft_Excel_Worksheet.xlsx"/></Relationships>
</file>

<file path=word/charts/_rels/chart10.xml.rels><?xml version="1.0" encoding="UTF-8" standalone="yes"?>
<Relationships xmlns="http://schemas.openxmlformats.org/package/2006/relationships"><Relationship Id="rId3" Type="http://schemas.openxmlformats.org/officeDocument/2006/relationships/package" Target="../embeddings/Microsoft_Excel_Worksheet6.xlsx"/><Relationship Id="rId2" Type="http://schemas.microsoft.com/office/2011/relationships/chartColorStyle" Target="colors10.xml"/><Relationship Id="rId1" Type="http://schemas.microsoft.com/office/2011/relationships/chartStyle" Target="style10.xml"/></Relationships>
</file>

<file path=word/charts/_rels/chart11.xml.rels><?xml version="1.0" encoding="UTF-8" standalone="yes"?>
<Relationships xmlns="http://schemas.openxmlformats.org/package/2006/relationships"><Relationship Id="rId3" Type="http://schemas.openxmlformats.org/officeDocument/2006/relationships/package" Target="../embeddings/Microsoft_Excel_Worksheet7.xlsx"/><Relationship Id="rId2" Type="http://schemas.microsoft.com/office/2011/relationships/chartColorStyle" Target="colors11.xml"/><Relationship Id="rId1" Type="http://schemas.microsoft.com/office/2011/relationships/chartStyle" Target="style11.xml"/><Relationship Id="rId4" Type="http://schemas.openxmlformats.org/officeDocument/2006/relationships/chartUserShapes" Target="../drawings/drawing7.xml"/></Relationships>
</file>

<file path=word/charts/_rels/chart2.xml.rels><?xml version="1.0" encoding="UTF-8" standalone="yes"?>
<Relationships xmlns="http://schemas.openxmlformats.org/package/2006/relationships"><Relationship Id="rId3" Type="http://schemas.openxmlformats.org/officeDocument/2006/relationships/themeOverride" Target="../theme/themeOverride2.xml"/><Relationship Id="rId2" Type="http://schemas.microsoft.com/office/2011/relationships/chartColorStyle" Target="colors2.xml"/><Relationship Id="rId1" Type="http://schemas.microsoft.com/office/2011/relationships/chartStyle" Target="style2.xml"/><Relationship Id="rId5" Type="http://schemas.openxmlformats.org/officeDocument/2006/relationships/chartUserShapes" Target="../drawings/drawing2.xml"/><Relationship Id="rId4" Type="http://schemas.openxmlformats.org/officeDocument/2006/relationships/package" Target="../embeddings/Microsoft_Excel_Worksheet1.xlsx"/></Relationships>
</file>

<file path=word/charts/_rels/chart3.xml.rels><?xml version="1.0" encoding="UTF-8" standalone="yes"?>
<Relationships xmlns="http://schemas.openxmlformats.org/package/2006/relationships"><Relationship Id="rId3" Type="http://schemas.openxmlformats.org/officeDocument/2006/relationships/oleObject" Target="file:///C:\Users\Carme.TAB-BCN\Desktop\ESTAD&#205;STIQUES\ESTAD&#205;STIQUES-2024\ESTAD&#205;STIQUES-2024.xlsx" TargetMode="External"/><Relationship Id="rId2" Type="http://schemas.microsoft.com/office/2011/relationships/chartColorStyle" Target="colors3.xml"/><Relationship Id="rId1" Type="http://schemas.microsoft.com/office/2011/relationships/chartStyle" Target="style3.xml"/><Relationship Id="rId4" Type="http://schemas.openxmlformats.org/officeDocument/2006/relationships/chartUserShapes" Target="../drawings/drawing3.xml"/></Relationships>
</file>

<file path=word/charts/_rels/chart4.xml.rels><?xml version="1.0" encoding="UTF-8" standalone="yes"?>
<Relationships xmlns="http://schemas.openxmlformats.org/package/2006/relationships"><Relationship Id="rId3" Type="http://schemas.openxmlformats.org/officeDocument/2006/relationships/themeOverride" Target="../theme/themeOverride3.xml"/><Relationship Id="rId2" Type="http://schemas.microsoft.com/office/2011/relationships/chartColorStyle" Target="colors4.xml"/><Relationship Id="rId1" Type="http://schemas.microsoft.com/office/2011/relationships/chartStyle" Target="style4.xml"/><Relationship Id="rId5" Type="http://schemas.openxmlformats.org/officeDocument/2006/relationships/chartUserShapes" Target="../drawings/drawing4.xml"/><Relationship Id="rId4" Type="http://schemas.openxmlformats.org/officeDocument/2006/relationships/package" Target="../embeddings/Microsoft_Excel_Worksheet2.xlsx"/></Relationships>
</file>

<file path=word/charts/_rels/chart5.xml.rels><?xml version="1.0" encoding="UTF-8" standalone="yes"?>
<Relationships xmlns="http://schemas.openxmlformats.org/package/2006/relationships"><Relationship Id="rId3" Type="http://schemas.openxmlformats.org/officeDocument/2006/relationships/oleObject" Target="file:///C:\Users\Carme.TAB-BCN\Desktop\ESTAD&#205;STIQUES\ESTAD&#205;STIQUES-2024\ESTAD&#205;STIQUES-2024.xlsx" TargetMode="External"/><Relationship Id="rId2" Type="http://schemas.microsoft.com/office/2011/relationships/chartColorStyle" Target="colors5.xml"/><Relationship Id="rId1" Type="http://schemas.microsoft.com/office/2011/relationships/chartStyle" Target="style5.xml"/><Relationship Id="rId4" Type="http://schemas.openxmlformats.org/officeDocument/2006/relationships/chartUserShapes" Target="../drawings/drawing5.xml"/></Relationships>
</file>

<file path=word/charts/_rels/chart6.xml.rels><?xml version="1.0" encoding="UTF-8" standalone="yes"?>
<Relationships xmlns="http://schemas.openxmlformats.org/package/2006/relationships"><Relationship Id="rId3" Type="http://schemas.openxmlformats.org/officeDocument/2006/relationships/package" Target="../embeddings/Microsoft_Excel_Worksheet3.xlsx"/><Relationship Id="rId2" Type="http://schemas.microsoft.com/office/2011/relationships/chartColorStyle" Target="colors6.xml"/><Relationship Id="rId1" Type="http://schemas.microsoft.com/office/2011/relationships/chartStyle" Target="style6.xml"/></Relationships>
</file>

<file path=word/charts/_rels/chart7.xml.rels><?xml version="1.0" encoding="UTF-8" standalone="yes"?>
<Relationships xmlns="http://schemas.openxmlformats.org/package/2006/relationships"><Relationship Id="rId3" Type="http://schemas.openxmlformats.org/officeDocument/2006/relationships/oleObject" Target="file:///C:\Users\Carme.TAB-BCN\Desktop\ESTAD&#205;STIQUES\ESTAD&#205;STIQUES-2024\ESTAD&#205;STIQUES-2024.xlsx" TargetMode="External"/><Relationship Id="rId2" Type="http://schemas.microsoft.com/office/2011/relationships/chartColorStyle" Target="colors7.xml"/><Relationship Id="rId1" Type="http://schemas.microsoft.com/office/2011/relationships/chartStyle" Target="style7.xml"/><Relationship Id="rId4" Type="http://schemas.openxmlformats.org/officeDocument/2006/relationships/chartUserShapes" Target="../drawings/drawing6.xml"/></Relationships>
</file>

<file path=word/charts/_rels/chart8.xml.rels><?xml version="1.0" encoding="UTF-8" standalone="yes"?>
<Relationships xmlns="http://schemas.openxmlformats.org/package/2006/relationships"><Relationship Id="rId3" Type="http://schemas.openxmlformats.org/officeDocument/2006/relationships/package" Target="../embeddings/Microsoft_Excel_Worksheet4.xlsx"/><Relationship Id="rId2" Type="http://schemas.microsoft.com/office/2011/relationships/chartColorStyle" Target="colors8.xml"/><Relationship Id="rId1" Type="http://schemas.microsoft.com/office/2011/relationships/chartStyle" Target="style8.xml"/></Relationships>
</file>

<file path=word/charts/_rels/chart9.xml.rels><?xml version="1.0" encoding="UTF-8" standalone="yes"?>
<Relationships xmlns="http://schemas.openxmlformats.org/package/2006/relationships"><Relationship Id="rId3" Type="http://schemas.openxmlformats.org/officeDocument/2006/relationships/package" Target="../embeddings/Microsoft_Excel_Worksheet5.xlsx"/><Relationship Id="rId2" Type="http://schemas.microsoft.com/office/2011/relationships/chartColorStyle" Target="colors9.xml"/><Relationship Id="rId1" Type="http://schemas.microsoft.com/office/2011/relationships/chartStyle" Target="style9.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0.21639535451234343"/>
          <c:y val="4.7663882440226894E-2"/>
          <c:w val="0.55393524604605149"/>
          <c:h val="0.88806947558707483"/>
        </c:manualLayout>
      </c:layout>
      <c:doughnutChart>
        <c:varyColors val="1"/>
        <c:ser>
          <c:idx val="0"/>
          <c:order val="0"/>
          <c:dPt>
            <c:idx val="0"/>
            <c:bubble3D val="0"/>
            <c:spPr>
              <a:solidFill>
                <a:schemeClr val="accent6">
                  <a:lumMod val="75000"/>
                </a:schemeClr>
              </a:solidFill>
              <a:ln w="19050">
                <a:solidFill>
                  <a:schemeClr val="lt1"/>
                </a:solidFill>
              </a:ln>
              <a:effectLst/>
            </c:spPr>
            <c:extLst>
              <c:ext xmlns:c16="http://schemas.microsoft.com/office/drawing/2014/chart" uri="{C3380CC4-5D6E-409C-BE32-E72D297353CC}">
                <c16:uniqueId val="{00000001-C8AE-4754-833D-93A84FFA3928}"/>
              </c:ext>
            </c:extLst>
          </c:dPt>
          <c:dPt>
            <c:idx val="1"/>
            <c:bubble3D val="0"/>
            <c:spPr>
              <a:solidFill>
                <a:srgbClr val="008000"/>
              </a:solidFill>
              <a:ln w="19050">
                <a:solidFill>
                  <a:schemeClr val="lt1"/>
                </a:solidFill>
              </a:ln>
              <a:effectLst/>
            </c:spPr>
            <c:extLst>
              <c:ext xmlns:c16="http://schemas.microsoft.com/office/drawing/2014/chart" uri="{C3380CC4-5D6E-409C-BE32-E72D297353CC}">
                <c16:uniqueId val="{00000003-C8AE-4754-833D-93A84FFA3928}"/>
              </c:ext>
            </c:extLst>
          </c:dPt>
          <c:dPt>
            <c:idx val="2"/>
            <c:bubble3D val="0"/>
            <c:spPr>
              <a:solidFill>
                <a:schemeClr val="accent6">
                  <a:lumMod val="60000"/>
                  <a:lumOff val="40000"/>
                </a:schemeClr>
              </a:solidFill>
              <a:ln w="19050">
                <a:solidFill>
                  <a:schemeClr val="lt1"/>
                </a:solidFill>
              </a:ln>
              <a:effectLst/>
            </c:spPr>
            <c:extLst>
              <c:ext xmlns:c16="http://schemas.microsoft.com/office/drawing/2014/chart" uri="{C3380CC4-5D6E-409C-BE32-E72D297353CC}">
                <c16:uniqueId val="{00000005-C8AE-4754-833D-93A84FFA3928}"/>
              </c:ext>
            </c:extLst>
          </c:dPt>
          <c:dPt>
            <c:idx val="3"/>
            <c:bubble3D val="0"/>
            <c:explosion val="1"/>
            <c:spPr>
              <a:solidFill>
                <a:schemeClr val="accent6">
                  <a:lumMod val="40000"/>
                  <a:lumOff val="60000"/>
                </a:schemeClr>
              </a:solidFill>
              <a:ln w="19050">
                <a:solidFill>
                  <a:schemeClr val="lt1"/>
                </a:solidFill>
              </a:ln>
              <a:effectLst/>
            </c:spPr>
            <c:extLst>
              <c:ext xmlns:c16="http://schemas.microsoft.com/office/drawing/2014/chart" uri="{C3380CC4-5D6E-409C-BE32-E72D297353CC}">
                <c16:uniqueId val="{00000007-C8AE-4754-833D-93A84FFA3928}"/>
              </c:ext>
            </c:extLst>
          </c:dPt>
          <c:dPt>
            <c:idx val="4"/>
            <c:bubble3D val="0"/>
            <c:spPr>
              <a:solidFill>
                <a:schemeClr val="accent6">
                  <a:lumMod val="50000"/>
                </a:schemeClr>
              </a:solidFill>
              <a:ln w="19050">
                <a:solidFill>
                  <a:schemeClr val="lt1"/>
                </a:solidFill>
              </a:ln>
              <a:effectLst/>
            </c:spPr>
            <c:extLst>
              <c:ext xmlns:c16="http://schemas.microsoft.com/office/drawing/2014/chart" uri="{C3380CC4-5D6E-409C-BE32-E72D297353CC}">
                <c16:uniqueId val="{00000009-C8AE-4754-833D-93A84FFA3928}"/>
              </c:ext>
            </c:extLst>
          </c:dPt>
          <c:dPt>
            <c:idx val="5"/>
            <c:bubble3D val="0"/>
            <c:spPr>
              <a:solidFill>
                <a:schemeClr val="accent6">
                  <a:lumMod val="20000"/>
                  <a:lumOff val="80000"/>
                </a:schemeClr>
              </a:solidFill>
              <a:ln w="19050">
                <a:solidFill>
                  <a:schemeClr val="lt1"/>
                </a:solidFill>
              </a:ln>
              <a:effectLst/>
            </c:spPr>
            <c:extLst>
              <c:ext xmlns:c16="http://schemas.microsoft.com/office/drawing/2014/chart" uri="{C3380CC4-5D6E-409C-BE32-E72D297353CC}">
                <c16:uniqueId val="{0000000B-C8AE-4754-833D-93A84FFA3928}"/>
              </c:ext>
            </c:extLst>
          </c:dPt>
          <c:dPt>
            <c:idx val="6"/>
            <c:bubble3D val="0"/>
            <c:spPr>
              <a:solidFill>
                <a:srgbClr val="339966"/>
              </a:solidFill>
              <a:ln w="19050">
                <a:solidFill>
                  <a:schemeClr val="lt1"/>
                </a:solidFill>
              </a:ln>
              <a:effectLst/>
            </c:spPr>
            <c:extLst>
              <c:ext xmlns:c16="http://schemas.microsoft.com/office/drawing/2014/chart" uri="{C3380CC4-5D6E-409C-BE32-E72D297353CC}">
                <c16:uniqueId val="{0000000D-C8AE-4754-833D-93A84FFA3928}"/>
              </c:ext>
            </c:extLst>
          </c:dPt>
          <c:dPt>
            <c:idx val="7"/>
            <c:bubble3D val="0"/>
            <c:spPr>
              <a:solidFill>
                <a:srgbClr val="99CC00"/>
              </a:solidFill>
              <a:ln w="19050">
                <a:solidFill>
                  <a:schemeClr val="lt1"/>
                </a:solidFill>
              </a:ln>
              <a:effectLst/>
            </c:spPr>
            <c:extLst>
              <c:ext xmlns:c16="http://schemas.microsoft.com/office/drawing/2014/chart" uri="{C3380CC4-5D6E-409C-BE32-E72D297353CC}">
                <c16:uniqueId val="{0000000F-C8AE-4754-833D-93A84FFA3928}"/>
              </c:ext>
            </c:extLst>
          </c:dPt>
          <c:dPt>
            <c:idx val="8"/>
            <c:bubble3D val="0"/>
            <c:spPr>
              <a:solidFill>
                <a:srgbClr val="CCFF99"/>
              </a:solidFill>
              <a:ln w="19050">
                <a:solidFill>
                  <a:schemeClr val="lt1"/>
                </a:solidFill>
              </a:ln>
              <a:effectLst/>
            </c:spPr>
            <c:extLst>
              <c:ext xmlns:c16="http://schemas.microsoft.com/office/drawing/2014/chart" uri="{C3380CC4-5D6E-409C-BE32-E72D297353CC}">
                <c16:uniqueId val="{00000011-C8AE-4754-833D-93A84FFA3928}"/>
              </c:ext>
            </c:extLst>
          </c:dPt>
          <c:dLbls>
            <c:dLbl>
              <c:idx val="0"/>
              <c:layout>
                <c:manualLayout>
                  <c:x val="0.23021589168823769"/>
                  <c:y val="1.3044109323589717E-2"/>
                </c:manualLayout>
              </c:layout>
              <c:tx>
                <c:rich>
                  <a:bodyPr/>
                  <a:lstStyle/>
                  <a:p>
                    <a:r>
                      <a:rPr lang="en-US"/>
                      <a:t>Arrendamientos</a:t>
                    </a:r>
                    <a:r>
                      <a:rPr lang="en-US" baseline="0"/>
                      <a:t> urbanos y rústicos
</a:t>
                    </a:r>
                    <a:fld id="{4B3F7F55-151A-410E-9F8F-0B551F9ABFD3}" type="PERCENTAGE">
                      <a:rPr lang="en-US" baseline="0"/>
                      <a:pPr/>
                      <a:t>[PORCENTAJE]</a:t>
                    </a:fld>
                    <a:endParaRPr lang="en-US" baseline="0"/>
                  </a:p>
                </c:rich>
              </c:tx>
              <c:showLegendKey val="0"/>
              <c:showVal val="0"/>
              <c:showCatName val="1"/>
              <c:showSerName val="0"/>
              <c:showPercent val="1"/>
              <c:showBubbleSize val="0"/>
              <c:extLst>
                <c:ext xmlns:c15="http://schemas.microsoft.com/office/drawing/2012/chart" uri="{CE6537A1-D6FC-4f65-9D91-7224C49458BB}">
                  <c15:layout>
                    <c:manualLayout>
                      <c:w val="0.22434629406263973"/>
                      <c:h val="0.20297535241869599"/>
                    </c:manualLayout>
                  </c15:layout>
                  <c15:dlblFieldTable/>
                  <c15:showDataLabelsRange val="0"/>
                </c:ext>
                <c:ext xmlns:c16="http://schemas.microsoft.com/office/drawing/2014/chart" uri="{C3380CC4-5D6E-409C-BE32-E72D297353CC}">
                  <c16:uniqueId val="{00000001-C8AE-4754-833D-93A84FFA3928}"/>
                </c:ext>
              </c:extLst>
            </c:dLbl>
            <c:dLbl>
              <c:idx val="1"/>
              <c:layout>
                <c:manualLayout>
                  <c:x val="0.15391745550396907"/>
                  <c:y val="-1.6096576076601161E-2"/>
                </c:manualLayout>
              </c:layout>
              <c:tx>
                <c:rich>
                  <a:bodyPr/>
                  <a:lstStyle/>
                  <a:p>
                    <a:r>
                      <a:rPr lang="en-US"/>
                      <a:t>Contratación administrativa</a:t>
                    </a:r>
                    <a:r>
                      <a:rPr lang="en-US" baseline="0"/>
                      <a:t>
</a:t>
                    </a:r>
                    <a:fld id="{206F8D52-97B5-4737-849A-501BB75CE0F5}" type="PERCENTAGE">
                      <a:rPr lang="en-US" baseline="0"/>
                      <a:pPr/>
                      <a:t>[PORCENTAJE]</a:t>
                    </a:fld>
                    <a:endParaRPr lang="en-US" baseline="0"/>
                  </a:p>
                </c:rich>
              </c:tx>
              <c:showLegendKey val="0"/>
              <c:showVal val="0"/>
              <c:showCatName val="1"/>
              <c:showSerName val="0"/>
              <c:showPercent val="1"/>
              <c:showBubbleSize val="0"/>
              <c:extLst>
                <c:ext xmlns:c15="http://schemas.microsoft.com/office/drawing/2012/chart" uri="{CE6537A1-D6FC-4f65-9D91-7224C49458BB}">
                  <c15:dlblFieldTable/>
                  <c15:showDataLabelsRange val="0"/>
                </c:ext>
                <c:ext xmlns:c16="http://schemas.microsoft.com/office/drawing/2014/chart" uri="{C3380CC4-5D6E-409C-BE32-E72D297353CC}">
                  <c16:uniqueId val="{00000003-C8AE-4754-833D-93A84FFA3928}"/>
                </c:ext>
              </c:extLst>
            </c:dLbl>
            <c:dLbl>
              <c:idx val="2"/>
              <c:layout>
                <c:manualLayout>
                  <c:x val="0.17246172725143522"/>
                  <c:y val="-9.8366828570564738E-17"/>
                </c:manualLayout>
              </c:layout>
              <c:tx>
                <c:rich>
                  <a:bodyPr/>
                  <a:lstStyle/>
                  <a:p>
                    <a:r>
                      <a:rPr lang="en-US"/>
                      <a:t>Contrato de obra (promotor-constructor)</a:t>
                    </a:r>
                    <a:r>
                      <a:rPr lang="en-US" baseline="0"/>
                      <a:t>
</a:t>
                    </a:r>
                    <a:fld id="{67C545C8-8888-468B-BA57-FA2CC0017CFC}" type="PERCENTAGE">
                      <a:rPr lang="en-US" baseline="0"/>
                      <a:pPr/>
                      <a:t>[PORCENTAJE]</a:t>
                    </a:fld>
                    <a:endParaRPr lang="en-US" baseline="0"/>
                  </a:p>
                </c:rich>
              </c:tx>
              <c:showLegendKey val="0"/>
              <c:showVal val="0"/>
              <c:showCatName val="1"/>
              <c:showSerName val="0"/>
              <c:showPercent val="1"/>
              <c:showBubbleSize val="0"/>
              <c:extLst>
                <c:ext xmlns:c15="http://schemas.microsoft.com/office/drawing/2012/chart" uri="{CE6537A1-D6FC-4f65-9D91-7224C49458BB}">
                  <c15:dlblFieldTable/>
                  <c15:showDataLabelsRange val="0"/>
                </c:ext>
                <c:ext xmlns:c16="http://schemas.microsoft.com/office/drawing/2014/chart" uri="{C3380CC4-5D6E-409C-BE32-E72D297353CC}">
                  <c16:uniqueId val="{00000005-C8AE-4754-833D-93A84FFA3928}"/>
                </c:ext>
              </c:extLst>
            </c:dLbl>
            <c:dLbl>
              <c:idx val="3"/>
              <c:layout>
                <c:manualLayout>
                  <c:x val="0.20584141639687428"/>
                  <c:y val="7.2434592344705007E-2"/>
                </c:manualLayout>
              </c:layout>
              <c:tx>
                <c:rich>
                  <a:bodyPr/>
                  <a:lstStyle/>
                  <a:p>
                    <a:r>
                      <a:rPr lang="en-US"/>
                      <a:t>Contratos</a:t>
                    </a:r>
                    <a:r>
                      <a:rPr lang="en-US" baseline="0"/>
                      <a:t> de colaboración
</a:t>
                    </a:r>
                    <a:fld id="{0F15CC21-D7F3-42C7-9B3A-A3E1B91349E7}" type="PERCENTAGE">
                      <a:rPr lang="en-US" baseline="0"/>
                      <a:pPr/>
                      <a:t>[PORCENTAJE]</a:t>
                    </a:fld>
                    <a:endParaRPr lang="en-US" baseline="0"/>
                  </a:p>
                </c:rich>
              </c:tx>
              <c:showLegendKey val="0"/>
              <c:showVal val="0"/>
              <c:showCatName val="1"/>
              <c:showSerName val="0"/>
              <c:showPercent val="1"/>
              <c:showBubbleSize val="0"/>
              <c:extLst>
                <c:ext xmlns:c15="http://schemas.microsoft.com/office/drawing/2012/chart" uri="{CE6537A1-D6FC-4f65-9D91-7224C49458BB}">
                  <c15:dlblFieldTable/>
                  <c15:showDataLabelsRange val="0"/>
                </c:ext>
                <c:ext xmlns:c16="http://schemas.microsoft.com/office/drawing/2014/chart" uri="{C3380CC4-5D6E-409C-BE32-E72D297353CC}">
                  <c16:uniqueId val="{00000007-C8AE-4754-833D-93A84FFA3928}"/>
                </c:ext>
              </c:extLst>
            </c:dLbl>
            <c:dLbl>
              <c:idx val="4"/>
              <c:layout>
                <c:manualLayout>
                  <c:x val="-0.19259381733909767"/>
                  <c:y val="0.12928655194696409"/>
                </c:manualLayout>
              </c:layout>
              <c:tx>
                <c:rich>
                  <a:bodyPr/>
                  <a:lstStyle/>
                  <a:p>
                    <a:r>
                      <a:rPr lang="en-US"/>
                      <a:t>Contratos de prestación de servicios profesionales y mercantiles</a:t>
                    </a:r>
                    <a:r>
                      <a:rPr lang="en-US" baseline="0"/>
                      <a:t>
</a:t>
                    </a:r>
                    <a:fld id="{557CE630-13D0-4810-926F-1642AAAFD760}" type="PERCENTAGE">
                      <a:rPr lang="en-US" baseline="0"/>
                      <a:pPr/>
                      <a:t>[PORCENTAJE]</a:t>
                    </a:fld>
                    <a:endParaRPr lang="en-US" baseline="0"/>
                  </a:p>
                </c:rich>
              </c:tx>
              <c:showLegendKey val="0"/>
              <c:showVal val="0"/>
              <c:showCatName val="1"/>
              <c:showSerName val="0"/>
              <c:showPercent val="1"/>
              <c:showBubbleSize val="0"/>
              <c:extLst>
                <c:ext xmlns:c15="http://schemas.microsoft.com/office/drawing/2012/chart" uri="{CE6537A1-D6FC-4f65-9D91-7224C49458BB}">
                  <c15:dlblFieldTable/>
                  <c15:showDataLabelsRange val="0"/>
                </c:ext>
                <c:ext xmlns:c16="http://schemas.microsoft.com/office/drawing/2014/chart" uri="{C3380CC4-5D6E-409C-BE32-E72D297353CC}">
                  <c16:uniqueId val="{00000009-C8AE-4754-833D-93A84FFA3928}"/>
                </c:ext>
              </c:extLst>
            </c:dLbl>
            <c:dLbl>
              <c:idx val="5"/>
              <c:layout>
                <c:manualLayout>
                  <c:x val="-0.17338338731754918"/>
                  <c:y val="0.1886494507335518"/>
                </c:manualLayout>
              </c:layout>
              <c:tx>
                <c:rich>
                  <a:bodyPr/>
                  <a:lstStyle/>
                  <a:p>
                    <a:r>
                      <a:rPr lang="en-US"/>
                      <a:t>Derecho Societario</a:t>
                    </a:r>
                    <a:r>
                      <a:rPr lang="en-US" baseline="0"/>
                      <a:t>
</a:t>
                    </a:r>
                    <a:fld id="{FE9B3DAE-354D-4B65-8141-7F2D8021EC8D}" type="PERCENTAGE">
                      <a:rPr lang="en-US" baseline="0"/>
                      <a:pPr/>
                      <a:t>[PORCENTAJE]</a:t>
                    </a:fld>
                    <a:endParaRPr lang="en-US" baseline="0"/>
                  </a:p>
                </c:rich>
              </c:tx>
              <c:showLegendKey val="0"/>
              <c:showVal val="0"/>
              <c:showCatName val="1"/>
              <c:showSerName val="0"/>
              <c:showPercent val="1"/>
              <c:showBubbleSize val="0"/>
              <c:extLst>
                <c:ext xmlns:c15="http://schemas.microsoft.com/office/drawing/2012/chart" uri="{CE6537A1-D6FC-4f65-9D91-7224C49458BB}">
                  <c15:layout>
                    <c:manualLayout>
                      <c:w val="0.16116036700231748"/>
                      <c:h val="0.15957309972015088"/>
                    </c:manualLayout>
                  </c15:layout>
                  <c15:dlblFieldTable/>
                  <c15:showDataLabelsRange val="0"/>
                </c:ext>
                <c:ext xmlns:c16="http://schemas.microsoft.com/office/drawing/2014/chart" uri="{C3380CC4-5D6E-409C-BE32-E72D297353CC}">
                  <c16:uniqueId val="{0000000B-C8AE-4754-833D-93A84FFA3928}"/>
                </c:ext>
              </c:extLst>
            </c:dLbl>
            <c:dLbl>
              <c:idx val="6"/>
              <c:layout>
                <c:manualLayout>
                  <c:x val="-0.21218168512068522"/>
                  <c:y val="0.13988477878372854"/>
                </c:manualLayout>
              </c:layout>
              <c:tx>
                <c:rich>
                  <a:bodyPr/>
                  <a:lstStyle/>
                  <a:p>
                    <a:r>
                      <a:rPr lang="en-US"/>
                      <a:t>Fusiones y adquisiciones</a:t>
                    </a:r>
                  </a:p>
                  <a:p>
                    <a:r>
                      <a:rPr lang="en-US"/>
                      <a:t>(M&amp;A)</a:t>
                    </a:r>
                    <a:r>
                      <a:rPr lang="en-US" baseline="0"/>
                      <a:t>
</a:t>
                    </a:r>
                    <a:fld id="{C95606F1-203C-410C-BC25-5259DB9F5765}" type="PERCENTAGE">
                      <a:rPr lang="en-US" baseline="0"/>
                      <a:pPr/>
                      <a:t>[PORCENTAJE]</a:t>
                    </a:fld>
                    <a:endParaRPr lang="en-US" baseline="0"/>
                  </a:p>
                </c:rich>
              </c:tx>
              <c:showLegendKey val="0"/>
              <c:showVal val="0"/>
              <c:showCatName val="1"/>
              <c:showSerName val="0"/>
              <c:showPercent val="1"/>
              <c:showBubbleSize val="0"/>
              <c:extLst>
                <c:ext xmlns:c15="http://schemas.microsoft.com/office/drawing/2012/chart" uri="{CE6537A1-D6FC-4f65-9D91-7224C49458BB}">
                  <c15:layout>
                    <c:manualLayout>
                      <c:w val="0.19046281865369236"/>
                      <c:h val="0.2267312405485738"/>
                    </c:manualLayout>
                  </c15:layout>
                  <c15:dlblFieldTable/>
                  <c15:showDataLabelsRange val="0"/>
                </c:ext>
                <c:ext xmlns:c16="http://schemas.microsoft.com/office/drawing/2014/chart" uri="{C3380CC4-5D6E-409C-BE32-E72D297353CC}">
                  <c16:uniqueId val="{0000000D-C8AE-4754-833D-93A84FFA3928}"/>
                </c:ext>
              </c:extLst>
            </c:dLbl>
            <c:dLbl>
              <c:idx val="7"/>
              <c:layout>
                <c:manualLayout>
                  <c:x val="-0.2601303752693564"/>
                  <c:y val="-4.577842663284111E-2"/>
                </c:manualLayout>
              </c:layout>
              <c:tx>
                <c:rich>
                  <a:bodyPr/>
                  <a:lstStyle/>
                  <a:p>
                    <a:r>
                      <a:rPr lang="en-US" baseline="0"/>
                      <a:t>Promoción Inmobiliaria (Promotor-consumidor)
</a:t>
                    </a:r>
                    <a:fld id="{DD545CD4-2BBC-40C8-A952-51E5DBB85A3A}" type="PERCENTAGE">
                      <a:rPr lang="en-US" baseline="0"/>
                      <a:pPr/>
                      <a:t>[PORCENTAJE]</a:t>
                    </a:fld>
                    <a:endParaRPr lang="en-US" baseline="0"/>
                  </a:p>
                </c:rich>
              </c:tx>
              <c:showLegendKey val="0"/>
              <c:showVal val="0"/>
              <c:showCatName val="1"/>
              <c:showSerName val="0"/>
              <c:showPercent val="1"/>
              <c:showBubbleSize val="0"/>
              <c:extLst>
                <c:ext xmlns:c15="http://schemas.microsoft.com/office/drawing/2012/chart" uri="{CE6537A1-D6FC-4f65-9D91-7224C49458BB}">
                  <c15:dlblFieldTable/>
                  <c15:showDataLabelsRange val="0"/>
                </c:ext>
                <c:ext xmlns:c16="http://schemas.microsoft.com/office/drawing/2014/chart" uri="{C3380CC4-5D6E-409C-BE32-E72D297353CC}">
                  <c16:uniqueId val="{0000000F-C8AE-4754-833D-93A84FFA3928}"/>
                </c:ext>
              </c:extLst>
            </c:dLbl>
            <c:dLbl>
              <c:idx val="8"/>
              <c:layout>
                <c:manualLayout>
                  <c:x val="-0.14093646528074277"/>
                  <c:y val="-8.8531168421306136E-2"/>
                </c:manualLayout>
              </c:layout>
              <c:tx>
                <c:rich>
                  <a:bodyPr/>
                  <a:lstStyle/>
                  <a:p>
                    <a:r>
                      <a:rPr lang="en-US" baseline="0"/>
                      <a:t>Propiedad horizontal
</a:t>
                    </a:r>
                    <a:fld id="{79954204-80EE-4573-AA05-8D19C09A9500}" type="PERCENTAGE">
                      <a:rPr lang="en-US" baseline="0"/>
                      <a:pPr/>
                      <a:t>[PORCENTAJE]</a:t>
                    </a:fld>
                    <a:endParaRPr lang="en-US" baseline="0"/>
                  </a:p>
                </c:rich>
              </c:tx>
              <c:showLegendKey val="0"/>
              <c:showVal val="0"/>
              <c:showCatName val="1"/>
              <c:showSerName val="0"/>
              <c:showPercent val="1"/>
              <c:showBubbleSize val="0"/>
              <c:extLst>
                <c:ext xmlns:c15="http://schemas.microsoft.com/office/drawing/2012/chart" uri="{CE6537A1-D6FC-4f65-9D91-7224C49458BB}">
                  <c15:dlblFieldTable/>
                  <c15:showDataLabelsRange val="0"/>
                </c:ext>
                <c:ext xmlns:c16="http://schemas.microsoft.com/office/drawing/2014/chart" uri="{C3380CC4-5D6E-409C-BE32-E72D297353CC}">
                  <c16:uniqueId val="{00000011-C8AE-4754-833D-93A84FFA3928}"/>
                </c:ext>
              </c:extLst>
            </c:dLbl>
            <c:spPr>
              <a:solidFill>
                <a:sysClr val="window" lastClr="FFFFFF"/>
              </a:solidFill>
              <a:ln>
                <a:solidFill>
                  <a:sysClr val="window" lastClr="FFFFFF">
                    <a:lumMod val="85000"/>
                  </a:sysClr>
                </a:solidFill>
              </a:ln>
              <a:effectLst/>
            </c:spPr>
            <c:txPr>
              <a:bodyPr rot="0" spcFirstLastPara="1" vertOverflow="clip" horzOverflow="clip" vert="horz" wrap="square" lIns="38100" tIns="19050" rIns="38100" bIns="19050" anchor="ctr" anchorCtr="1">
                <a:spAutoFit/>
              </a:bodyPr>
              <a:lstStyle/>
              <a:p>
                <a:pPr>
                  <a:defRPr sz="700" b="1" i="0" u="none" strike="noStrike" kern="1200" baseline="0">
                    <a:solidFill>
                      <a:schemeClr val="dk1">
                        <a:lumMod val="65000"/>
                        <a:lumOff val="35000"/>
                      </a:schemeClr>
                    </a:solidFill>
                    <a:latin typeface="+mj-lt"/>
                    <a:ea typeface="+mn-ea"/>
                    <a:cs typeface="+mn-cs"/>
                  </a:defRPr>
                </a:pPr>
                <a:endParaRPr lang="es-ES"/>
              </a:p>
            </c:txPr>
            <c:showLegendKey val="0"/>
            <c:showVal val="0"/>
            <c:showCatName val="1"/>
            <c:showSerName val="0"/>
            <c:showPercent val="1"/>
            <c:showBubbleSize val="0"/>
            <c:showLeaderLines val="0"/>
            <c:extLst>
              <c:ext xmlns:c15="http://schemas.microsoft.com/office/drawing/2012/chart" uri="{CE6537A1-D6FC-4f65-9D91-7224C49458BB}">
                <c15:spPr xmlns:c15="http://schemas.microsoft.com/office/drawing/2012/chart">
                  <a:prstGeom prst="wedgeRectCallout">
                    <a:avLst/>
                  </a:prstGeom>
                  <a:noFill/>
                  <a:ln>
                    <a:noFill/>
                  </a:ln>
                </c15:spPr>
              </c:ext>
            </c:extLst>
          </c:dLbls>
          <c:cat>
            <c:strRef>
              <c:f>'Matèries-objecte'!$H$2:$H$10</c:f>
              <c:strCache>
                <c:ptCount val="9"/>
                <c:pt idx="0">
                  <c:v>Arrendaments urbans i rústics</c:v>
                </c:pt>
                <c:pt idx="1">
                  <c:v>Contractació administrativa</c:v>
                </c:pt>
                <c:pt idx="2">
                  <c:v>Contracte d'obra (promotor-constructor)</c:v>
                </c:pt>
                <c:pt idx="3">
                  <c:v>Contractes de col·laboració</c:v>
                </c:pt>
                <c:pt idx="4">
                  <c:v>Contractes de prestació de serveis professionals i mercantils </c:v>
                </c:pt>
                <c:pt idx="5">
                  <c:v>Dret societari</c:v>
                </c:pt>
                <c:pt idx="6">
                  <c:v>Fusions i adquisicions (M&amp;A)</c:v>
                </c:pt>
                <c:pt idx="7">
                  <c:v>Promoció Immobiliària (promotor-consumidor)</c:v>
                </c:pt>
                <c:pt idx="8">
                  <c:v>Propietat horitzontal </c:v>
                </c:pt>
              </c:strCache>
            </c:strRef>
          </c:cat>
          <c:val>
            <c:numRef>
              <c:f>'Matèries-objecte'!$I$2:$I$10</c:f>
              <c:numCache>
                <c:formatCode>General</c:formatCode>
                <c:ptCount val="9"/>
                <c:pt idx="0">
                  <c:v>4</c:v>
                </c:pt>
                <c:pt idx="1">
                  <c:v>2</c:v>
                </c:pt>
                <c:pt idx="2">
                  <c:v>3</c:v>
                </c:pt>
                <c:pt idx="3">
                  <c:v>3</c:v>
                </c:pt>
                <c:pt idx="4">
                  <c:v>4</c:v>
                </c:pt>
                <c:pt idx="5">
                  <c:v>2</c:v>
                </c:pt>
                <c:pt idx="6">
                  <c:v>1</c:v>
                </c:pt>
                <c:pt idx="7">
                  <c:v>2</c:v>
                </c:pt>
                <c:pt idx="8">
                  <c:v>1</c:v>
                </c:pt>
              </c:numCache>
            </c:numRef>
          </c:val>
          <c:extLst>
            <c:ext xmlns:c16="http://schemas.microsoft.com/office/drawing/2014/chart" uri="{C3380CC4-5D6E-409C-BE32-E72D297353CC}">
              <c16:uniqueId val="{00000012-C8AE-4754-833D-93A84FFA3928}"/>
            </c:ext>
          </c:extLst>
        </c:ser>
        <c:dLbls>
          <c:showLegendKey val="0"/>
          <c:showVal val="0"/>
          <c:showCatName val="0"/>
          <c:showSerName val="0"/>
          <c:showPercent val="0"/>
          <c:showBubbleSize val="0"/>
          <c:showLeaderLines val="0"/>
        </c:dLbls>
        <c:firstSliceAng val="0"/>
        <c:holeSize val="75"/>
      </c:doughnutChart>
      <c:spPr>
        <a:noFill/>
        <a:ln>
          <a:noFill/>
        </a:ln>
        <a:effectLst/>
      </c:spPr>
    </c:plotArea>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9525" cap="flat" cmpd="sng" algn="ctr">
      <a:noFill/>
      <a:round/>
    </a:ln>
    <a:effectLst/>
  </c:spPr>
  <c:txPr>
    <a:bodyPr/>
    <a:lstStyle/>
    <a:p>
      <a:pPr>
        <a:defRPr/>
      </a:pPr>
      <a:endParaRPr lang="es-ES"/>
    </a:p>
  </c:txPr>
  <c:externalData r:id="rId4">
    <c:autoUpdate val="0"/>
  </c:externalData>
  <c:userShapes r:id="rId5"/>
</c:chartSpace>
</file>

<file path=word/charts/chart10.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21447532548530443"/>
          <c:y val="5.6330982756902223E-2"/>
          <c:w val="0.78707327209098865"/>
          <c:h val="0.7137153549586206"/>
        </c:manualLayout>
      </c:layout>
      <c:barChart>
        <c:barDir val="bar"/>
        <c:grouping val="clustered"/>
        <c:varyColors val="0"/>
        <c:ser>
          <c:idx val="1"/>
          <c:order val="1"/>
          <c:tx>
            <c:strRef>
              <c:f>Durada!$J$96</c:f>
              <c:strCache>
                <c:ptCount val="1"/>
                <c:pt idx="0">
                  <c:v>meses</c:v>
                </c:pt>
              </c:strCache>
            </c:strRef>
          </c:tx>
          <c:spPr>
            <a:solidFill>
              <a:schemeClr val="accent6">
                <a:lumMod val="75000"/>
              </a:schemeClr>
            </a:solidFill>
            <a:ln>
              <a:noFill/>
            </a:ln>
            <a:effectLst/>
          </c:spPr>
          <c:invertIfNegative val="0"/>
          <c:dLbls>
            <c:spPr>
              <a:solidFill>
                <a:sysClr val="window" lastClr="FFFFFF"/>
              </a:solidFill>
              <a:ln>
                <a:noFill/>
              </a:ln>
              <a:effectLst/>
            </c:spPr>
            <c:txPr>
              <a:bodyPr rot="0" spcFirstLastPara="1" vertOverflow="clip" horzOverflow="clip" vert="horz" wrap="square" lIns="38100" tIns="19050" rIns="38100" bIns="19050" anchor="ctr" anchorCtr="1">
                <a:spAutoFit/>
              </a:bodyPr>
              <a:lstStyle/>
              <a:p>
                <a:pPr>
                  <a:defRPr sz="900" b="1" i="0" u="none" strike="noStrike" kern="1200" baseline="0">
                    <a:solidFill>
                      <a:sysClr val="windowText" lastClr="000000"/>
                    </a:solidFill>
                    <a:latin typeface="+mj-lt"/>
                    <a:ea typeface="+mn-ea"/>
                    <a:cs typeface="+mn-cs"/>
                  </a:defRPr>
                </a:pPr>
                <a:endParaRPr lang="es-ES"/>
              </a:p>
            </c:txPr>
            <c:dLblPos val="outEnd"/>
            <c:showLegendKey val="0"/>
            <c:showVal val="1"/>
            <c:showCatName val="0"/>
            <c:showSerName val="0"/>
            <c:showPercent val="0"/>
            <c:showBubbleSize val="0"/>
            <c:showLeaderLines val="0"/>
            <c:extLst>
              <c:ext xmlns:c15="http://schemas.microsoft.com/office/drawing/2012/chart" uri="{CE6537A1-D6FC-4f65-9D91-7224C49458BB}">
                <c15:spPr xmlns:c15="http://schemas.microsoft.com/office/drawing/2012/chart">
                  <a:prstGeom prst="rect">
                    <a:avLst/>
                  </a:prstGeom>
                  <a:noFill/>
                  <a:ln>
                    <a:noFill/>
                  </a:ln>
                </c15:spPr>
                <c15:showLeaderLines val="0"/>
              </c:ext>
            </c:extLst>
          </c:dLbls>
          <c:cat>
            <c:multiLvlStrRef>
              <c:f>Durada!$G$97:$H$102</c:f>
              <c:multiLvlStrCache>
                <c:ptCount val="6"/>
                <c:lvl>
                  <c:pt idx="1">
                    <c:v>media acotada</c:v>
                  </c:pt>
                  <c:pt idx="3">
                    <c:v>media acotada</c:v>
                  </c:pt>
                  <c:pt idx="5">
                    <c:v>media acotada</c:v>
                  </c:pt>
                </c:lvl>
                <c:lvl>
                  <c:pt idx="1">
                    <c:v>Prearbitral</c:v>
                  </c:pt>
                  <c:pt idx="3">
                    <c:v>Arbitral </c:v>
                  </c:pt>
                  <c:pt idx="5">
                    <c:v>Total</c:v>
                  </c:pt>
                </c:lvl>
              </c:multiLvlStrCache>
            </c:multiLvlStrRef>
          </c:cat>
          <c:val>
            <c:numRef>
              <c:f>Durada!$J$97:$J$102</c:f>
              <c:numCache>
                <c:formatCode>#,##0.0</c:formatCode>
                <c:ptCount val="6"/>
                <c:pt idx="1">
                  <c:v>3.7833333333333323</c:v>
                </c:pt>
                <c:pt idx="3">
                  <c:v>4.3916666666666657</c:v>
                </c:pt>
                <c:pt idx="5">
                  <c:v>8.3166666666666682</c:v>
                </c:pt>
              </c:numCache>
            </c:numRef>
          </c:val>
          <c:extLst>
            <c:ext xmlns:c16="http://schemas.microsoft.com/office/drawing/2014/chart" uri="{C3380CC4-5D6E-409C-BE32-E72D297353CC}">
              <c16:uniqueId val="{00000000-2101-4664-878B-9DB923F0FCA5}"/>
            </c:ext>
          </c:extLst>
        </c:ser>
        <c:dLbls>
          <c:showLegendKey val="0"/>
          <c:showVal val="0"/>
          <c:showCatName val="0"/>
          <c:showSerName val="0"/>
          <c:showPercent val="0"/>
          <c:showBubbleSize val="0"/>
        </c:dLbls>
        <c:gapWidth val="182"/>
        <c:axId val="645308192"/>
        <c:axId val="645309992"/>
        <c:extLst>
          <c:ext xmlns:c15="http://schemas.microsoft.com/office/drawing/2012/chart" uri="{02D57815-91ED-43cb-92C2-25804820EDAC}">
            <c15:filteredBarSeries>
              <c15:ser>
                <c:idx val="0"/>
                <c:order val="0"/>
                <c:tx>
                  <c:strRef>
                    <c:extLst>
                      <c:ext uri="{02D57815-91ED-43cb-92C2-25804820EDAC}">
                        <c15:formulaRef>
                          <c15:sqref>Durada!$I$96</c15:sqref>
                        </c15:formulaRef>
                      </c:ext>
                    </c:extLst>
                    <c:strCache>
                      <c:ptCount val="1"/>
                      <c:pt idx="0">
                        <c:v>dies</c:v>
                      </c:pt>
                    </c:strCache>
                  </c:strRef>
                </c:tx>
                <c:spPr>
                  <a:solidFill>
                    <a:schemeClr val="accent1"/>
                  </a:solidFill>
                  <a:ln>
                    <a:noFill/>
                  </a:ln>
                  <a:effectLst/>
                </c:spPr>
                <c:invertIfNegative val="0"/>
                <c:dLbls>
                  <c:spPr>
                    <a:solidFill>
                      <a:sysClr val="window" lastClr="FFFFFF"/>
                    </a:solidFill>
                    <a:ln>
                      <a:solidFill>
                        <a:sysClr val="windowText" lastClr="000000">
                          <a:lumMod val="25000"/>
                          <a:lumOff val="75000"/>
                        </a:sysClr>
                      </a:solidFill>
                    </a:ln>
                    <a:effectLst/>
                  </c:spPr>
                  <c:txPr>
                    <a:bodyPr rot="0" spcFirstLastPara="1" vertOverflow="clip" horzOverflow="clip" vert="horz" wrap="square" lIns="38100" tIns="19050" rIns="38100" bIns="19050" anchor="ctr" anchorCtr="1">
                      <a:spAutoFit/>
                    </a:bodyPr>
                    <a:lstStyle/>
                    <a:p>
                      <a:pPr>
                        <a:defRPr sz="900" b="0" i="0" u="none" strike="noStrike" kern="1200" baseline="0">
                          <a:solidFill>
                            <a:schemeClr val="dk1">
                              <a:lumMod val="65000"/>
                              <a:lumOff val="35000"/>
                            </a:schemeClr>
                          </a:solidFill>
                          <a:latin typeface="+mn-lt"/>
                          <a:ea typeface="+mn-ea"/>
                          <a:cs typeface="+mn-cs"/>
                        </a:defRPr>
                      </a:pPr>
                      <a:endParaRPr lang="es-ES"/>
                    </a:p>
                  </c:txPr>
                  <c:dLblPos val="outEnd"/>
                  <c:showLegendKey val="0"/>
                  <c:showVal val="1"/>
                  <c:showCatName val="1"/>
                  <c:showSerName val="0"/>
                  <c:showPercent val="0"/>
                  <c:showBubbleSize val="0"/>
                  <c:showLeaderLines val="0"/>
                  <c:extLst>
                    <c:ext uri="{CE6537A1-D6FC-4f65-9D91-7224C49458BB}">
                      <c15:spPr xmlns:c15="http://schemas.microsoft.com/office/drawing/2012/chart">
                        <a:prstGeom prst="wedgeRectCallout">
                          <a:avLst/>
                        </a:prstGeom>
                        <a:noFill/>
                        <a:ln>
                          <a:noFill/>
                        </a:ln>
                      </c15:spPr>
                      <c15:showLeaderLines val="0"/>
                    </c:ext>
                  </c:extLst>
                </c:dLbls>
                <c:cat>
                  <c:multiLvlStrRef>
                    <c:extLst>
                      <c:ext uri="{02D57815-91ED-43cb-92C2-25804820EDAC}">
                        <c15:formulaRef>
                          <c15:sqref>Durada!$G$97:$H$102</c15:sqref>
                        </c15:formulaRef>
                      </c:ext>
                    </c:extLst>
                    <c:multiLvlStrCache>
                      <c:ptCount val="6"/>
                      <c:lvl>
                        <c:pt idx="1">
                          <c:v>media acotada</c:v>
                        </c:pt>
                        <c:pt idx="3">
                          <c:v>media acotada</c:v>
                        </c:pt>
                        <c:pt idx="5">
                          <c:v>media acotada</c:v>
                        </c:pt>
                      </c:lvl>
                      <c:lvl>
                        <c:pt idx="1">
                          <c:v>Prearbitral</c:v>
                        </c:pt>
                        <c:pt idx="3">
                          <c:v>Arbitral </c:v>
                        </c:pt>
                        <c:pt idx="5">
                          <c:v>Total</c:v>
                        </c:pt>
                      </c:lvl>
                    </c:multiLvlStrCache>
                  </c:multiLvlStrRef>
                </c:cat>
                <c:val>
                  <c:numRef>
                    <c:extLst>
                      <c:ext uri="{02D57815-91ED-43cb-92C2-25804820EDAC}">
                        <c15:formulaRef>
                          <c15:sqref>Durada!$I$97:$I$102</c15:sqref>
                        </c15:formulaRef>
                      </c:ext>
                    </c:extLst>
                    <c:numCache>
                      <c:formatCode>#,##0.0</c:formatCode>
                      <c:ptCount val="6"/>
                      <c:pt idx="1">
                        <c:v>113.5</c:v>
                      </c:pt>
                      <c:pt idx="3">
                        <c:v>131.75</c:v>
                      </c:pt>
                      <c:pt idx="5">
                        <c:v>249.5</c:v>
                      </c:pt>
                    </c:numCache>
                  </c:numRef>
                </c:val>
                <c:extLst>
                  <c:ext xmlns:c16="http://schemas.microsoft.com/office/drawing/2014/chart" uri="{C3380CC4-5D6E-409C-BE32-E72D297353CC}">
                    <c16:uniqueId val="{00000001-2101-4664-878B-9DB923F0FCA5}"/>
                  </c:ext>
                </c:extLst>
              </c15:ser>
            </c15:filteredBarSeries>
          </c:ext>
        </c:extLst>
      </c:barChart>
      <c:catAx>
        <c:axId val="645308192"/>
        <c:scaling>
          <c:orientation val="minMax"/>
        </c:scaling>
        <c:delete val="0"/>
        <c:axPos val="l"/>
        <c:numFmt formatCode="General" sourceLinked="1"/>
        <c:majorTickMark val="none"/>
        <c:minorTickMark val="none"/>
        <c:tickLblPos val="nextTo"/>
        <c:spPr>
          <a:noFill/>
          <a:ln w="9525" cap="flat" cmpd="sng" algn="ctr">
            <a:noFill/>
            <a:round/>
          </a:ln>
          <a:effectLst/>
        </c:spPr>
        <c:txPr>
          <a:bodyPr rot="-60000000" spcFirstLastPara="1" vertOverflow="ellipsis" vert="horz" wrap="square" anchor="b" anchorCtr="1"/>
          <a:lstStyle/>
          <a:p>
            <a:pPr>
              <a:defRPr sz="700" b="1" i="0" u="none" strike="noStrike" kern="1200" baseline="0">
                <a:ln>
                  <a:noFill/>
                </a:ln>
                <a:solidFill>
                  <a:sysClr val="windowText" lastClr="000000">
                    <a:alpha val="99000"/>
                  </a:sysClr>
                </a:solidFill>
                <a:latin typeface="+mj-lt"/>
                <a:ea typeface="+mn-ea"/>
                <a:cs typeface="+mn-cs"/>
              </a:defRPr>
            </a:pPr>
            <a:endParaRPr lang="es-ES"/>
          </a:p>
        </c:txPr>
        <c:crossAx val="645309992"/>
        <c:crosses val="autoZero"/>
        <c:auto val="1"/>
        <c:lblAlgn val="ctr"/>
        <c:lblOffset val="100"/>
        <c:noMultiLvlLbl val="0"/>
      </c:catAx>
      <c:valAx>
        <c:axId val="645309992"/>
        <c:scaling>
          <c:orientation val="minMax"/>
        </c:scaling>
        <c:delete val="1"/>
        <c:axPos val="b"/>
        <c:numFmt formatCode="#,##0.0" sourceLinked="1"/>
        <c:majorTickMark val="none"/>
        <c:minorTickMark val="none"/>
        <c:tickLblPos val="nextTo"/>
        <c:crossAx val="645308192"/>
        <c:crosses val="autoZero"/>
        <c:crossBetween val="between"/>
      </c:valAx>
      <c:spPr>
        <a:noFill/>
        <a:ln>
          <a:noFill/>
        </a:ln>
        <a:effectLst/>
      </c:spPr>
    </c:plotArea>
    <c:legend>
      <c:legendPos val="r"/>
      <c:layout>
        <c:manualLayout>
          <c:xMode val="edge"/>
          <c:yMode val="edge"/>
          <c:x val="0.84200263952154486"/>
          <c:y val="0.3936901973487491"/>
          <c:w val="0.11108738264152625"/>
          <c:h val="0.11439437356722815"/>
        </c:manualLayout>
      </c:layout>
      <c:overlay val="0"/>
      <c:spPr>
        <a:noFill/>
        <a:ln>
          <a:noFill/>
        </a:ln>
        <a:effectLst/>
      </c:spPr>
      <c:txPr>
        <a:bodyPr rot="0" spcFirstLastPara="1" vertOverflow="ellipsis" vert="horz" wrap="square" anchor="ctr" anchorCtr="1"/>
        <a:lstStyle/>
        <a:p>
          <a:pPr>
            <a:defRPr sz="700" b="1" i="0" u="none" strike="noStrike" kern="1200" baseline="0">
              <a:solidFill>
                <a:sysClr val="windowText" lastClr="000000"/>
              </a:solidFill>
              <a:latin typeface="+mj-lt"/>
              <a:ea typeface="+mn-ea"/>
              <a:cs typeface="+mn-cs"/>
            </a:defRPr>
          </a:pPr>
          <a:endParaRPr lang="es-ES"/>
        </a:p>
      </c:txPr>
    </c:legend>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9525" cap="flat" cmpd="sng" algn="ctr">
      <a:noFill/>
      <a:round/>
    </a:ln>
    <a:effectLst/>
  </c:spPr>
  <c:txPr>
    <a:bodyPr/>
    <a:lstStyle/>
    <a:p>
      <a:pPr>
        <a:defRPr/>
      </a:pPr>
      <a:endParaRPr lang="es-ES"/>
    </a:p>
  </c:txPr>
  <c:externalData r:id="rId3">
    <c:autoUpdate val="0"/>
  </c:externalData>
</c:chartSpace>
</file>

<file path=word/charts/chart1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20785160393850199"/>
          <c:y val="5.9515159030318059E-2"/>
          <c:w val="0.65240782402199726"/>
          <c:h val="0.86302767272201208"/>
        </c:manualLayout>
      </c:layout>
      <c:doughnutChart>
        <c:varyColors val="1"/>
        <c:ser>
          <c:idx val="0"/>
          <c:order val="0"/>
          <c:dPt>
            <c:idx val="0"/>
            <c:bubble3D val="0"/>
            <c:spPr>
              <a:solidFill>
                <a:schemeClr val="accent6">
                  <a:lumMod val="75000"/>
                </a:schemeClr>
              </a:solidFill>
              <a:ln w="19050">
                <a:solidFill>
                  <a:schemeClr val="lt1"/>
                </a:solidFill>
              </a:ln>
              <a:effectLst/>
            </c:spPr>
            <c:extLst>
              <c:ext xmlns:c16="http://schemas.microsoft.com/office/drawing/2014/chart" uri="{C3380CC4-5D6E-409C-BE32-E72D297353CC}">
                <c16:uniqueId val="{00000001-3761-41DF-90C4-969A60ABF986}"/>
              </c:ext>
            </c:extLst>
          </c:dPt>
          <c:dPt>
            <c:idx val="1"/>
            <c:bubble3D val="0"/>
            <c:spPr>
              <a:solidFill>
                <a:schemeClr val="accent2"/>
              </a:solidFill>
              <a:ln w="19050">
                <a:solidFill>
                  <a:schemeClr val="lt1"/>
                </a:solidFill>
              </a:ln>
              <a:effectLst/>
            </c:spPr>
            <c:extLst>
              <c:ext xmlns:c16="http://schemas.microsoft.com/office/drawing/2014/chart" uri="{C3380CC4-5D6E-409C-BE32-E72D297353CC}">
                <c16:uniqueId val="{00000003-3761-41DF-90C4-969A60ABF986}"/>
              </c:ext>
            </c:extLst>
          </c:dPt>
          <c:dPt>
            <c:idx val="2"/>
            <c:bubble3D val="0"/>
            <c:spPr>
              <a:solidFill>
                <a:schemeClr val="accent6">
                  <a:lumMod val="20000"/>
                  <a:lumOff val="80000"/>
                </a:schemeClr>
              </a:solidFill>
              <a:ln w="19050">
                <a:solidFill>
                  <a:schemeClr val="lt1"/>
                </a:solidFill>
              </a:ln>
              <a:effectLst/>
            </c:spPr>
            <c:extLst>
              <c:ext xmlns:c16="http://schemas.microsoft.com/office/drawing/2014/chart" uri="{C3380CC4-5D6E-409C-BE32-E72D297353CC}">
                <c16:uniqueId val="{00000005-3761-41DF-90C4-969A60ABF986}"/>
              </c:ext>
            </c:extLst>
          </c:dPt>
          <c:dPt>
            <c:idx val="3"/>
            <c:bubble3D val="0"/>
            <c:spPr>
              <a:solidFill>
                <a:schemeClr val="accent4"/>
              </a:solidFill>
              <a:ln w="19050">
                <a:solidFill>
                  <a:schemeClr val="lt1"/>
                </a:solidFill>
              </a:ln>
              <a:effectLst/>
            </c:spPr>
            <c:extLst>
              <c:ext xmlns:c16="http://schemas.microsoft.com/office/drawing/2014/chart" uri="{C3380CC4-5D6E-409C-BE32-E72D297353CC}">
                <c16:uniqueId val="{00000007-3761-41DF-90C4-969A60ABF986}"/>
              </c:ext>
            </c:extLst>
          </c:dPt>
          <c:dPt>
            <c:idx val="4"/>
            <c:bubble3D val="0"/>
            <c:spPr>
              <a:solidFill>
                <a:schemeClr val="accent6">
                  <a:lumMod val="60000"/>
                  <a:lumOff val="40000"/>
                </a:schemeClr>
              </a:solidFill>
              <a:ln w="19050">
                <a:solidFill>
                  <a:schemeClr val="lt1"/>
                </a:solidFill>
              </a:ln>
              <a:effectLst/>
            </c:spPr>
            <c:extLst>
              <c:ext xmlns:c16="http://schemas.microsoft.com/office/drawing/2014/chart" uri="{C3380CC4-5D6E-409C-BE32-E72D297353CC}">
                <c16:uniqueId val="{00000009-3761-41DF-90C4-969A60ABF986}"/>
              </c:ext>
            </c:extLst>
          </c:dPt>
          <c:dLbls>
            <c:dLbl>
              <c:idx val="0"/>
              <c:layout>
                <c:manualLayout>
                  <c:x val="0.15084512319024637"/>
                  <c:y val="9.6062992125984153E-2"/>
                </c:manualLayout>
              </c:layout>
              <c:tx>
                <c:rich>
                  <a:bodyPr rot="0" spcFirstLastPara="1" vertOverflow="clip" horzOverflow="clip" vert="horz" wrap="square" lIns="38100" tIns="19050" rIns="38100" bIns="19050" anchor="ctr" anchorCtr="1">
                    <a:noAutofit/>
                  </a:bodyPr>
                  <a:lstStyle/>
                  <a:p>
                    <a:pPr>
                      <a:defRPr sz="800" b="1" i="0" u="none" strike="noStrike" kern="1200" baseline="0">
                        <a:solidFill>
                          <a:sysClr val="windowText" lastClr="000000"/>
                        </a:solidFill>
                        <a:latin typeface="+mj-lt"/>
                        <a:ea typeface="+mn-ea"/>
                        <a:cs typeface="+mn-cs"/>
                      </a:defRPr>
                    </a:pPr>
                    <a:r>
                      <a:rPr lang="en-US"/>
                      <a:t>Laudo cumplido voluntariamente</a:t>
                    </a:r>
                    <a:r>
                      <a:rPr lang="en-US" baseline="0"/>
                      <a:t>
</a:t>
                    </a:r>
                    <a:fld id="{5DD28560-B62B-48B9-92BE-941BC1398A1E}" type="PERCENTAGE">
                      <a:rPr lang="en-US" baseline="0"/>
                      <a:pPr>
                        <a:defRPr sz="800" b="1">
                          <a:solidFill>
                            <a:sysClr val="windowText" lastClr="000000"/>
                          </a:solidFill>
                          <a:latin typeface="+mj-lt"/>
                        </a:defRPr>
                      </a:pPr>
                      <a:t>[PORCENTAJE]</a:t>
                    </a:fld>
                    <a:endParaRPr lang="en-US" baseline="0"/>
                  </a:p>
                </c:rich>
              </c:tx>
              <c:spPr>
                <a:solidFill>
                  <a:sysClr val="window" lastClr="FFFFFF"/>
                </a:solidFill>
                <a:ln>
                  <a:solidFill>
                    <a:sysClr val="windowText" lastClr="000000">
                      <a:lumMod val="25000"/>
                      <a:lumOff val="75000"/>
                    </a:sysClr>
                  </a:solidFill>
                </a:ln>
                <a:effectLst/>
              </c:spPr>
              <c:txPr>
                <a:bodyPr rot="0" spcFirstLastPara="1" vertOverflow="clip" horzOverflow="clip" vert="horz" wrap="square" lIns="38100" tIns="19050" rIns="38100" bIns="19050" anchor="ctr" anchorCtr="1">
                  <a:noAutofit/>
                </a:bodyPr>
                <a:lstStyle/>
                <a:p>
                  <a:pPr>
                    <a:defRPr sz="800" b="1" i="0" u="none" strike="noStrike" kern="1200" baseline="0">
                      <a:solidFill>
                        <a:sysClr val="windowText" lastClr="000000"/>
                      </a:solidFill>
                      <a:latin typeface="+mj-lt"/>
                      <a:ea typeface="+mn-ea"/>
                      <a:cs typeface="+mn-cs"/>
                    </a:defRPr>
                  </a:pPr>
                  <a:endParaRPr lang="en-US"/>
                </a:p>
              </c:txPr>
              <c:showLegendKey val="0"/>
              <c:showVal val="0"/>
              <c:showCatName val="1"/>
              <c:showSerName val="0"/>
              <c:showPercent val="1"/>
              <c:showBubbleSize val="0"/>
              <c:extLst>
                <c:ext xmlns:c15="http://schemas.microsoft.com/office/drawing/2012/chart" uri="{CE6537A1-D6FC-4f65-9D91-7224C49458BB}">
                  <c15:spPr xmlns:c15="http://schemas.microsoft.com/office/drawing/2012/chart">
                    <a:prstGeom prst="wedgeRectCallout">
                      <a:avLst/>
                    </a:prstGeom>
                    <a:noFill/>
                    <a:ln>
                      <a:noFill/>
                    </a:ln>
                  </c15:spPr>
                  <c15:layout>
                    <c:manualLayout>
                      <c:w val="0.23656949902135094"/>
                      <c:h val="0.25992766652199972"/>
                    </c:manualLayout>
                  </c15:layout>
                  <c15:dlblFieldTable/>
                  <c15:showDataLabelsRange val="0"/>
                </c:ext>
                <c:ext xmlns:c16="http://schemas.microsoft.com/office/drawing/2014/chart" uri="{C3380CC4-5D6E-409C-BE32-E72D297353CC}">
                  <c16:uniqueId val="{00000001-3761-41DF-90C4-969A60ABF986}"/>
                </c:ext>
              </c:extLst>
            </c:dLbl>
            <c:dLbl>
              <c:idx val="2"/>
              <c:layout>
                <c:manualLayout>
                  <c:x val="-0.14678495121696125"/>
                  <c:y val="0.3058306983280632"/>
                </c:manualLayout>
              </c:layout>
              <c:tx>
                <c:rich>
                  <a:bodyPr/>
                  <a:lstStyle/>
                  <a:p>
                    <a:r>
                      <a:rPr lang="en-US"/>
                      <a:t>Laudo impugnado ante</a:t>
                    </a:r>
                    <a:r>
                      <a:rPr lang="en-US" baseline="0"/>
                      <a:t> el TSJ Catalunya
</a:t>
                    </a:r>
                    <a:fld id="{C636A81E-826B-47F3-9360-243F646E3B64}" type="PERCENTAGE">
                      <a:rPr lang="en-US" baseline="0"/>
                      <a:pPr/>
                      <a:t>[PORCENTAJE]</a:t>
                    </a:fld>
                    <a:endParaRPr lang="en-US" baseline="0"/>
                  </a:p>
                </c:rich>
              </c:tx>
              <c:showLegendKey val="0"/>
              <c:showVal val="0"/>
              <c:showCatName val="1"/>
              <c:showSerName val="0"/>
              <c:showPercent val="1"/>
              <c:showBubbleSize val="0"/>
              <c:extLst>
                <c:ext xmlns:c15="http://schemas.microsoft.com/office/drawing/2012/chart" uri="{CE6537A1-D6FC-4f65-9D91-7224C49458BB}">
                  <c15:layout>
                    <c:manualLayout>
                      <c:w val="0.17129973554064751"/>
                      <c:h val="0.25895633124599576"/>
                    </c:manualLayout>
                  </c15:layout>
                  <c15:dlblFieldTable/>
                  <c15:showDataLabelsRange val="0"/>
                </c:ext>
                <c:ext xmlns:c16="http://schemas.microsoft.com/office/drawing/2014/chart" uri="{C3380CC4-5D6E-409C-BE32-E72D297353CC}">
                  <c16:uniqueId val="{00000005-3761-41DF-90C4-969A60ABF986}"/>
                </c:ext>
              </c:extLst>
            </c:dLbl>
            <c:dLbl>
              <c:idx val="4"/>
              <c:layout>
                <c:manualLayout>
                  <c:x val="-0.28051212348456445"/>
                  <c:y val="1.0423874181081696E-2"/>
                </c:manualLayout>
              </c:layout>
              <c:tx>
                <c:rich>
                  <a:bodyPr/>
                  <a:lstStyle/>
                  <a:p>
                    <a:r>
                      <a:rPr lang="en-US"/>
                      <a:t>Laudo ejecutado</a:t>
                    </a:r>
                    <a:r>
                      <a:rPr lang="en-US" baseline="0"/>
                      <a:t> judicialmente
</a:t>
                    </a:r>
                    <a:fld id="{B0A5B074-6AA9-43EA-B5EB-106720DB2BB4}" type="PERCENTAGE">
                      <a:rPr lang="en-US" baseline="0"/>
                      <a:pPr/>
                      <a:t>[PORCENTAJE]</a:t>
                    </a:fld>
                    <a:endParaRPr lang="en-US" baseline="0"/>
                  </a:p>
                </c:rich>
              </c:tx>
              <c:showLegendKey val="0"/>
              <c:showVal val="0"/>
              <c:showCatName val="1"/>
              <c:showSerName val="0"/>
              <c:showPercent val="1"/>
              <c:showBubbleSize val="0"/>
              <c:extLst>
                <c:ext xmlns:c15="http://schemas.microsoft.com/office/drawing/2012/chart" uri="{CE6537A1-D6FC-4f65-9D91-7224C49458BB}">
                  <c15:dlblFieldTable/>
                  <c15:showDataLabelsRange val="0"/>
                </c:ext>
                <c:ext xmlns:c16="http://schemas.microsoft.com/office/drawing/2014/chart" uri="{C3380CC4-5D6E-409C-BE32-E72D297353CC}">
                  <c16:uniqueId val="{00000009-3761-41DF-90C4-969A60ABF986}"/>
                </c:ext>
              </c:extLst>
            </c:dLbl>
            <c:spPr>
              <a:solidFill>
                <a:sysClr val="window" lastClr="FFFFFF"/>
              </a:solidFill>
              <a:ln>
                <a:solidFill>
                  <a:sysClr val="windowText" lastClr="000000">
                    <a:lumMod val="25000"/>
                    <a:lumOff val="75000"/>
                  </a:sysClr>
                </a:solidFill>
              </a:ln>
              <a:effectLst/>
            </c:spPr>
            <c:txPr>
              <a:bodyPr rot="0" spcFirstLastPara="1" vertOverflow="clip" horzOverflow="clip" vert="horz" wrap="square" lIns="38100" tIns="19050" rIns="38100" bIns="19050" anchor="ctr" anchorCtr="1">
                <a:spAutoFit/>
              </a:bodyPr>
              <a:lstStyle/>
              <a:p>
                <a:pPr>
                  <a:defRPr sz="800" b="1" i="0" u="none" strike="noStrike" kern="1200" baseline="0">
                    <a:solidFill>
                      <a:sysClr val="windowText" lastClr="000000"/>
                    </a:solidFill>
                    <a:latin typeface="+mj-lt"/>
                    <a:ea typeface="+mn-ea"/>
                    <a:cs typeface="+mn-cs"/>
                  </a:defRPr>
                </a:pPr>
                <a:endParaRPr lang="es-ES"/>
              </a:p>
            </c:txPr>
            <c:showLegendKey val="0"/>
            <c:showVal val="0"/>
            <c:showCatName val="1"/>
            <c:showSerName val="0"/>
            <c:showPercent val="1"/>
            <c:showBubbleSize val="0"/>
            <c:showLeaderLines val="0"/>
            <c:extLst>
              <c:ext xmlns:c15="http://schemas.microsoft.com/office/drawing/2012/chart" uri="{CE6537A1-D6FC-4f65-9D91-7224C49458BB}">
                <c15:spPr xmlns:c15="http://schemas.microsoft.com/office/drawing/2012/chart">
                  <a:prstGeom prst="wedgeRectCallout">
                    <a:avLst/>
                  </a:prstGeom>
                  <a:noFill/>
                  <a:ln>
                    <a:noFill/>
                  </a:ln>
                </c15:spPr>
              </c:ext>
            </c:extLst>
          </c:dLbls>
          <c:cat>
            <c:strRef>
              <c:f>'Compliment laude'!$D$28:$D$32</c:f>
              <c:strCache>
                <c:ptCount val="5"/>
                <c:pt idx="0">
                  <c:v>Laude complert voluntariament</c:v>
                </c:pt>
                <c:pt idx="2">
                  <c:v>Laude impugnat davant TSJ Catalunya</c:v>
                </c:pt>
                <c:pt idx="4">
                  <c:v>Laude executat judicialment</c:v>
                </c:pt>
              </c:strCache>
            </c:strRef>
          </c:cat>
          <c:val>
            <c:numRef>
              <c:f>'Compliment laude'!$E$28:$E$32</c:f>
              <c:numCache>
                <c:formatCode>General</c:formatCode>
                <c:ptCount val="5"/>
                <c:pt idx="0">
                  <c:v>9</c:v>
                </c:pt>
                <c:pt idx="2">
                  <c:v>1</c:v>
                </c:pt>
                <c:pt idx="4">
                  <c:v>2</c:v>
                </c:pt>
              </c:numCache>
            </c:numRef>
          </c:val>
          <c:extLst>
            <c:ext xmlns:c16="http://schemas.microsoft.com/office/drawing/2014/chart" uri="{C3380CC4-5D6E-409C-BE32-E72D297353CC}">
              <c16:uniqueId val="{0000000A-3761-41DF-90C4-969A60ABF986}"/>
            </c:ext>
          </c:extLst>
        </c:ser>
        <c:dLbls>
          <c:showLegendKey val="0"/>
          <c:showVal val="0"/>
          <c:showCatName val="0"/>
          <c:showSerName val="0"/>
          <c:showPercent val="0"/>
          <c:showBubbleSize val="0"/>
          <c:showLeaderLines val="0"/>
        </c:dLbls>
        <c:firstSliceAng val="0"/>
        <c:holeSize val="75"/>
      </c:doughnutChart>
      <c:spPr>
        <a:noFill/>
        <a:ln>
          <a:noFill/>
        </a:ln>
        <a:effectLst/>
      </c:spPr>
    </c:plotArea>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9525" cap="flat" cmpd="sng" algn="ctr">
      <a:noFill/>
      <a:round/>
    </a:ln>
    <a:effectLst/>
  </c:spPr>
  <c:txPr>
    <a:bodyPr/>
    <a:lstStyle/>
    <a:p>
      <a:pPr>
        <a:defRPr/>
      </a:pPr>
      <a:endParaRPr lang="es-ES"/>
    </a:p>
  </c:txPr>
  <c:externalData r:id="rId3">
    <c:autoUpdate val="0"/>
  </c:externalData>
  <c:userShapes r:id="rId4"/>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0.22929163129701724"/>
          <c:y val="4.139274788103716E-2"/>
          <c:w val="0.60549073559113664"/>
          <c:h val="0.87851676307451865"/>
        </c:manualLayout>
      </c:layout>
      <c:doughnutChart>
        <c:varyColors val="1"/>
        <c:ser>
          <c:idx val="0"/>
          <c:order val="0"/>
          <c:spPr>
            <a:solidFill>
              <a:schemeClr val="accent6">
                <a:lumMod val="60000"/>
                <a:lumOff val="40000"/>
              </a:schemeClr>
            </a:solidFill>
          </c:spPr>
          <c:dPt>
            <c:idx val="0"/>
            <c:bubble3D val="0"/>
            <c:spPr>
              <a:solidFill>
                <a:schemeClr val="accent6">
                  <a:lumMod val="75000"/>
                </a:schemeClr>
              </a:solidFill>
              <a:ln w="19050">
                <a:solidFill>
                  <a:schemeClr val="lt1"/>
                </a:solidFill>
              </a:ln>
              <a:effectLst/>
            </c:spPr>
            <c:extLst>
              <c:ext xmlns:c16="http://schemas.microsoft.com/office/drawing/2014/chart" uri="{C3380CC4-5D6E-409C-BE32-E72D297353CC}">
                <c16:uniqueId val="{00000001-E693-4FE8-B123-B4F1A96E220E}"/>
              </c:ext>
            </c:extLst>
          </c:dPt>
          <c:dPt>
            <c:idx val="1"/>
            <c:bubble3D val="0"/>
            <c:spPr>
              <a:solidFill>
                <a:schemeClr val="accent6">
                  <a:lumMod val="60000"/>
                  <a:lumOff val="40000"/>
                </a:schemeClr>
              </a:solidFill>
              <a:ln w="19050">
                <a:solidFill>
                  <a:schemeClr val="lt1"/>
                </a:solidFill>
              </a:ln>
              <a:effectLst/>
            </c:spPr>
            <c:extLst>
              <c:ext xmlns:c16="http://schemas.microsoft.com/office/drawing/2014/chart" uri="{C3380CC4-5D6E-409C-BE32-E72D297353CC}">
                <c16:uniqueId val="{00000003-E693-4FE8-B123-B4F1A96E220E}"/>
              </c:ext>
            </c:extLst>
          </c:dPt>
          <c:dLbls>
            <c:dLbl>
              <c:idx val="0"/>
              <c:layout>
                <c:manualLayout>
                  <c:x val="0.24166666666666656"/>
                  <c:y val="-1.8518518518518604E-2"/>
                </c:manualLayout>
              </c:layout>
              <c:tx>
                <c:rich>
                  <a:bodyPr/>
                  <a:lstStyle/>
                  <a:p>
                    <a:r>
                      <a:rPr lang="en-US"/>
                      <a:t>Derecho</a:t>
                    </a:r>
                    <a:r>
                      <a:rPr lang="en-US" baseline="0"/>
                      <a:t>
</a:t>
                    </a:r>
                    <a:fld id="{54146185-B232-450F-ADF5-952A82B7B00A}" type="PERCENTAGE">
                      <a:rPr lang="en-US" baseline="0"/>
                      <a:pPr/>
                      <a:t>[PORCENTAJE]</a:t>
                    </a:fld>
                    <a:endParaRPr lang="en-US" baseline="0"/>
                  </a:p>
                </c:rich>
              </c:tx>
              <c:showLegendKey val="0"/>
              <c:showVal val="0"/>
              <c:showCatName val="1"/>
              <c:showSerName val="0"/>
              <c:showPercent val="1"/>
              <c:showBubbleSize val="0"/>
              <c:extLst>
                <c:ext xmlns:c15="http://schemas.microsoft.com/office/drawing/2012/chart" uri="{CE6537A1-D6FC-4f65-9D91-7224C49458BB}">
                  <c15:dlblFieldTable/>
                  <c15:showDataLabelsRange val="0"/>
                </c:ext>
                <c:ext xmlns:c16="http://schemas.microsoft.com/office/drawing/2014/chart" uri="{C3380CC4-5D6E-409C-BE32-E72D297353CC}">
                  <c16:uniqueId val="{00000001-E693-4FE8-B123-B4F1A96E220E}"/>
                </c:ext>
              </c:extLst>
            </c:dLbl>
            <c:dLbl>
              <c:idx val="1"/>
              <c:layout>
                <c:manualLayout>
                  <c:x val="-0.23386243386243386"/>
                  <c:y val="-1.0567276284853162E-2"/>
                </c:manualLayout>
              </c:layout>
              <c:tx>
                <c:rich>
                  <a:bodyPr/>
                  <a:lstStyle/>
                  <a:p>
                    <a:r>
                      <a:rPr lang="en-US"/>
                      <a:t>Equidad</a:t>
                    </a:r>
                    <a:r>
                      <a:rPr lang="en-US" baseline="0"/>
                      <a:t>
</a:t>
                    </a:r>
                    <a:fld id="{E977BEB2-797F-448B-B743-4F19F54961E7}" type="PERCENTAGE">
                      <a:rPr lang="en-US" baseline="0"/>
                      <a:pPr/>
                      <a:t>[PORCENTAJE]</a:t>
                    </a:fld>
                    <a:endParaRPr lang="en-US" baseline="0"/>
                  </a:p>
                </c:rich>
              </c:tx>
              <c:showLegendKey val="0"/>
              <c:showVal val="0"/>
              <c:showCatName val="1"/>
              <c:showSerName val="0"/>
              <c:showPercent val="1"/>
              <c:showBubbleSize val="0"/>
              <c:extLst>
                <c:ext xmlns:c15="http://schemas.microsoft.com/office/drawing/2012/chart" uri="{CE6537A1-D6FC-4f65-9D91-7224C49458BB}">
                  <c15:dlblFieldTable/>
                  <c15:showDataLabelsRange val="0"/>
                </c:ext>
                <c:ext xmlns:c16="http://schemas.microsoft.com/office/drawing/2014/chart" uri="{C3380CC4-5D6E-409C-BE32-E72D297353CC}">
                  <c16:uniqueId val="{00000003-E693-4FE8-B123-B4F1A96E220E}"/>
                </c:ext>
              </c:extLst>
            </c:dLbl>
            <c:spPr>
              <a:solidFill>
                <a:sysClr val="window" lastClr="FFFFFF"/>
              </a:solidFill>
              <a:ln>
                <a:solidFill>
                  <a:sysClr val="window" lastClr="FFFFFF">
                    <a:lumMod val="85000"/>
                  </a:sysClr>
                </a:solidFill>
              </a:ln>
              <a:effectLst/>
            </c:spPr>
            <c:txPr>
              <a:bodyPr rot="0" spcFirstLastPara="1" vertOverflow="clip" horzOverflow="clip" vert="horz" wrap="square" lIns="38100" tIns="19050" rIns="38100" bIns="19050" anchor="ctr" anchorCtr="1">
                <a:spAutoFit/>
              </a:bodyPr>
              <a:lstStyle/>
              <a:p>
                <a:pPr>
                  <a:defRPr sz="800" b="1" i="0" u="none" strike="noStrike" kern="1200" baseline="0">
                    <a:solidFill>
                      <a:sysClr val="windowText" lastClr="000000"/>
                    </a:solidFill>
                    <a:latin typeface="+mj-lt"/>
                    <a:ea typeface="+mn-ea"/>
                    <a:cs typeface="+mn-cs"/>
                  </a:defRPr>
                </a:pPr>
                <a:endParaRPr lang="es-ES"/>
              </a:p>
            </c:txPr>
            <c:showLegendKey val="0"/>
            <c:showVal val="0"/>
            <c:showCatName val="1"/>
            <c:showSerName val="0"/>
            <c:showPercent val="1"/>
            <c:showBubbleSize val="0"/>
            <c:showLeaderLines val="0"/>
            <c:extLst>
              <c:ext xmlns:c15="http://schemas.microsoft.com/office/drawing/2012/chart" uri="{CE6537A1-D6FC-4f65-9D91-7224C49458BB}">
                <c15:spPr xmlns:c15="http://schemas.microsoft.com/office/drawing/2012/chart">
                  <a:prstGeom prst="wedgeRectCallout">
                    <a:avLst/>
                  </a:prstGeom>
                  <a:noFill/>
                  <a:ln>
                    <a:noFill/>
                  </a:ln>
                </c15:spPr>
              </c:ext>
            </c:extLst>
          </c:dLbls>
          <c:cat>
            <c:strRef>
              <c:f>'Tipus arbitratge'!$D$2:$D$3</c:f>
              <c:strCache>
                <c:ptCount val="2"/>
                <c:pt idx="0">
                  <c:v>Dret</c:v>
                </c:pt>
                <c:pt idx="1">
                  <c:v>Equitat</c:v>
                </c:pt>
              </c:strCache>
            </c:strRef>
          </c:cat>
          <c:val>
            <c:numRef>
              <c:f>'Tipus arbitratge'!$E$2:$E$3</c:f>
              <c:numCache>
                <c:formatCode>General</c:formatCode>
                <c:ptCount val="2"/>
                <c:pt idx="0">
                  <c:v>20</c:v>
                </c:pt>
                <c:pt idx="1">
                  <c:v>2</c:v>
                </c:pt>
              </c:numCache>
            </c:numRef>
          </c:val>
          <c:extLst>
            <c:ext xmlns:c16="http://schemas.microsoft.com/office/drawing/2014/chart" uri="{C3380CC4-5D6E-409C-BE32-E72D297353CC}">
              <c16:uniqueId val="{00000004-E693-4FE8-B123-B4F1A96E220E}"/>
            </c:ext>
          </c:extLst>
        </c:ser>
        <c:dLbls>
          <c:showLegendKey val="0"/>
          <c:showVal val="0"/>
          <c:showCatName val="0"/>
          <c:showSerName val="0"/>
          <c:showPercent val="0"/>
          <c:showBubbleSize val="0"/>
          <c:showLeaderLines val="0"/>
        </c:dLbls>
        <c:firstSliceAng val="0"/>
        <c:holeSize val="75"/>
      </c:doughnutChart>
      <c:spPr>
        <a:noFill/>
        <a:ln w="9525">
          <a:noFill/>
        </a:ln>
        <a:effectLst/>
      </c:spPr>
    </c:plotArea>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9525" cap="flat" cmpd="sng" algn="ctr">
      <a:noFill/>
      <a:round/>
    </a:ln>
    <a:effectLst/>
  </c:spPr>
  <c:txPr>
    <a:bodyPr/>
    <a:lstStyle/>
    <a:p>
      <a:pPr>
        <a:defRPr/>
      </a:pPr>
      <a:endParaRPr lang="es-ES"/>
    </a:p>
  </c:txPr>
  <c:externalData r:id="rId4">
    <c:autoUpdate val="0"/>
  </c:externalData>
  <c:userShapes r:id="rId5"/>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19572238376841902"/>
          <c:y val="8.0233152674097571E-2"/>
          <c:w val="0.56908196382091247"/>
          <c:h val="0.89057632000545384"/>
        </c:manualLayout>
      </c:layout>
      <c:doughnutChart>
        <c:varyColors val="1"/>
        <c:ser>
          <c:idx val="0"/>
          <c:order val="0"/>
          <c:dPt>
            <c:idx val="0"/>
            <c:bubble3D val="0"/>
            <c:spPr>
              <a:solidFill>
                <a:schemeClr val="accent6">
                  <a:lumMod val="75000"/>
                </a:schemeClr>
              </a:solidFill>
              <a:ln w="19050">
                <a:solidFill>
                  <a:schemeClr val="lt1"/>
                </a:solidFill>
              </a:ln>
              <a:effectLst/>
            </c:spPr>
            <c:extLst>
              <c:ext xmlns:c16="http://schemas.microsoft.com/office/drawing/2014/chart" uri="{C3380CC4-5D6E-409C-BE32-E72D297353CC}">
                <c16:uniqueId val="{00000001-4C2E-48FA-BBB8-D9BA6E831547}"/>
              </c:ext>
            </c:extLst>
          </c:dPt>
          <c:dPt>
            <c:idx val="1"/>
            <c:bubble3D val="0"/>
            <c:spPr>
              <a:solidFill>
                <a:schemeClr val="accent6">
                  <a:lumMod val="40000"/>
                  <a:lumOff val="60000"/>
                </a:schemeClr>
              </a:solidFill>
              <a:ln w="19050">
                <a:solidFill>
                  <a:schemeClr val="lt1"/>
                </a:solidFill>
              </a:ln>
              <a:effectLst/>
            </c:spPr>
            <c:extLst>
              <c:ext xmlns:c16="http://schemas.microsoft.com/office/drawing/2014/chart" uri="{C3380CC4-5D6E-409C-BE32-E72D297353CC}">
                <c16:uniqueId val="{00000003-4C2E-48FA-BBB8-D9BA6E831547}"/>
              </c:ext>
            </c:extLst>
          </c:dPt>
          <c:dLbls>
            <c:dLbl>
              <c:idx val="0"/>
              <c:layout>
                <c:manualLayout>
                  <c:x val="0.21785375894403228"/>
                  <c:y val="-1.6233766233766333E-2"/>
                </c:manualLayout>
              </c:layout>
              <c:tx>
                <c:rich>
                  <a:bodyPr/>
                  <a:lstStyle/>
                  <a:p>
                    <a:r>
                      <a:rPr lang="en-US"/>
                      <a:t>Hombres</a:t>
                    </a:r>
                    <a:r>
                      <a:rPr lang="en-US" baseline="0"/>
                      <a:t>
</a:t>
                    </a:r>
                    <a:fld id="{4AF127FD-4765-44E0-B265-67DBB13E3726}" type="PERCENTAGE">
                      <a:rPr lang="en-US" baseline="0"/>
                      <a:pPr/>
                      <a:t>[PORCENTAJE]</a:t>
                    </a:fld>
                    <a:endParaRPr lang="en-US" baseline="0"/>
                  </a:p>
                </c:rich>
              </c:tx>
              <c:showLegendKey val="0"/>
              <c:showVal val="0"/>
              <c:showCatName val="1"/>
              <c:showSerName val="0"/>
              <c:showPercent val="1"/>
              <c:showBubbleSize val="0"/>
              <c:extLst>
                <c:ext xmlns:c15="http://schemas.microsoft.com/office/drawing/2012/chart" uri="{CE6537A1-D6FC-4f65-9D91-7224C49458BB}">
                  <c15:dlblFieldTable/>
                  <c15:showDataLabelsRange val="0"/>
                </c:ext>
                <c:ext xmlns:c16="http://schemas.microsoft.com/office/drawing/2014/chart" uri="{C3380CC4-5D6E-409C-BE32-E72D297353CC}">
                  <c16:uniqueId val="{00000001-4C2E-48FA-BBB8-D9BA6E831547}"/>
                </c:ext>
              </c:extLst>
            </c:dLbl>
            <c:dLbl>
              <c:idx val="1"/>
              <c:layout>
                <c:manualLayout>
                  <c:x val="-0.23333333333333334"/>
                  <c:y val="-5.555555555555558E-2"/>
                </c:manualLayout>
              </c:layout>
              <c:tx>
                <c:rich>
                  <a:bodyPr/>
                  <a:lstStyle/>
                  <a:p>
                    <a:r>
                      <a:rPr lang="en-US" baseline="0"/>
                      <a:t>Mujeres
</a:t>
                    </a:r>
                    <a:fld id="{8D01ADD8-64E7-4132-8BDA-FCB2C76874FB}" type="PERCENTAGE">
                      <a:rPr lang="en-US" baseline="0"/>
                      <a:pPr/>
                      <a:t>[PORCENTAJE]</a:t>
                    </a:fld>
                    <a:endParaRPr lang="en-US" baseline="0"/>
                  </a:p>
                </c:rich>
              </c:tx>
              <c:showLegendKey val="0"/>
              <c:showVal val="0"/>
              <c:showCatName val="1"/>
              <c:showSerName val="0"/>
              <c:showPercent val="1"/>
              <c:showBubbleSize val="0"/>
              <c:extLst>
                <c:ext xmlns:c15="http://schemas.microsoft.com/office/drawing/2012/chart" uri="{CE6537A1-D6FC-4f65-9D91-7224C49458BB}">
                  <c15:dlblFieldTable/>
                  <c15:showDataLabelsRange val="0"/>
                </c:ext>
                <c:ext xmlns:c16="http://schemas.microsoft.com/office/drawing/2014/chart" uri="{C3380CC4-5D6E-409C-BE32-E72D297353CC}">
                  <c16:uniqueId val="{00000003-4C2E-48FA-BBB8-D9BA6E831547}"/>
                </c:ext>
              </c:extLst>
            </c:dLbl>
            <c:spPr>
              <a:solidFill>
                <a:sysClr val="window" lastClr="FFFFFF"/>
              </a:solidFill>
              <a:ln>
                <a:solidFill>
                  <a:sysClr val="window" lastClr="FFFFFF">
                    <a:lumMod val="85000"/>
                  </a:sysClr>
                </a:solidFill>
              </a:ln>
              <a:effectLst/>
            </c:spPr>
            <c:txPr>
              <a:bodyPr rot="0" spcFirstLastPara="1" vertOverflow="clip" horzOverflow="clip" vert="horz" wrap="square" lIns="36576" tIns="18288" rIns="36576" bIns="18288" anchor="ctr" anchorCtr="1">
                <a:spAutoFit/>
              </a:bodyPr>
              <a:lstStyle/>
              <a:p>
                <a:pPr>
                  <a:defRPr sz="800" b="1" i="0" u="none" strike="noStrike" kern="1200" baseline="0">
                    <a:ln>
                      <a:noFill/>
                    </a:ln>
                    <a:solidFill>
                      <a:schemeClr val="tx1"/>
                    </a:solidFill>
                    <a:latin typeface="+mj-lt"/>
                    <a:ea typeface="+mn-ea"/>
                    <a:cs typeface="+mn-cs"/>
                  </a:defRPr>
                </a:pPr>
                <a:endParaRPr lang="es-ES"/>
              </a:p>
            </c:txPr>
            <c:showLegendKey val="0"/>
            <c:showVal val="0"/>
            <c:showCatName val="1"/>
            <c:showSerName val="0"/>
            <c:showPercent val="1"/>
            <c:showBubbleSize val="0"/>
            <c:showLeaderLines val="0"/>
            <c:extLst>
              <c:ext xmlns:c15="http://schemas.microsoft.com/office/drawing/2012/chart" uri="{CE6537A1-D6FC-4f65-9D91-7224C49458BB}">
                <c15:spPr xmlns:c15="http://schemas.microsoft.com/office/drawing/2012/chart">
                  <a:prstGeom prst="wedgeRectCallout">
                    <a:avLst/>
                  </a:prstGeom>
                  <a:noFill/>
                  <a:ln>
                    <a:noFill/>
                  </a:ln>
                </c15:spPr>
              </c:ext>
            </c:extLst>
          </c:dLbls>
          <c:cat>
            <c:strRef>
              <c:f>Gènere!$E$4:$E$5</c:f>
              <c:strCache>
                <c:ptCount val="2"/>
                <c:pt idx="0">
                  <c:v>homes</c:v>
                </c:pt>
                <c:pt idx="1">
                  <c:v>dones</c:v>
                </c:pt>
              </c:strCache>
            </c:strRef>
          </c:cat>
          <c:val>
            <c:numRef>
              <c:f>Gènere!$F$4:$F$5</c:f>
              <c:numCache>
                <c:formatCode>General</c:formatCode>
                <c:ptCount val="2"/>
                <c:pt idx="0">
                  <c:v>20</c:v>
                </c:pt>
                <c:pt idx="1">
                  <c:v>2</c:v>
                </c:pt>
              </c:numCache>
            </c:numRef>
          </c:val>
          <c:extLst>
            <c:ext xmlns:c16="http://schemas.microsoft.com/office/drawing/2014/chart" uri="{C3380CC4-5D6E-409C-BE32-E72D297353CC}">
              <c16:uniqueId val="{00000004-4C2E-48FA-BBB8-D9BA6E831547}"/>
            </c:ext>
          </c:extLst>
        </c:ser>
        <c:dLbls>
          <c:showLegendKey val="0"/>
          <c:showVal val="0"/>
          <c:showCatName val="0"/>
          <c:showSerName val="0"/>
          <c:showPercent val="0"/>
          <c:showBubbleSize val="0"/>
          <c:showLeaderLines val="0"/>
        </c:dLbls>
        <c:firstSliceAng val="0"/>
        <c:holeSize val="75"/>
      </c:doughnutChart>
      <c:spPr>
        <a:noFill/>
        <a:ln w="9525">
          <a:noFill/>
        </a:ln>
        <a:effectLst/>
      </c:spPr>
    </c:plotArea>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9525" cap="flat" cmpd="sng" algn="ctr">
      <a:noFill/>
      <a:round/>
    </a:ln>
    <a:effectLst/>
  </c:spPr>
  <c:txPr>
    <a:bodyPr/>
    <a:lstStyle/>
    <a:p>
      <a:pPr>
        <a:defRPr>
          <a:ln>
            <a:noFill/>
          </a:ln>
          <a:solidFill>
            <a:schemeClr val="tx1"/>
          </a:solidFill>
        </a:defRPr>
      </a:pPr>
      <a:endParaRPr lang="es-ES"/>
    </a:p>
  </c:txPr>
  <c:externalData r:id="rId3">
    <c:autoUpdate val="0"/>
  </c:externalData>
  <c:userShapes r:id="rId4"/>
</c:chartSpace>
</file>

<file path=word/charts/chart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0.22717177640029038"/>
          <c:y val="0.11722607435264622"/>
          <c:w val="0.58111744010722066"/>
          <c:h val="0.81529909507580223"/>
        </c:manualLayout>
      </c:layout>
      <c:doughnutChart>
        <c:varyColors val="1"/>
        <c:ser>
          <c:idx val="0"/>
          <c:order val="0"/>
          <c:spPr>
            <a:solidFill>
              <a:schemeClr val="accent6">
                <a:lumMod val="75000"/>
              </a:schemeClr>
            </a:solidFill>
          </c:spPr>
          <c:dPt>
            <c:idx val="0"/>
            <c:bubble3D val="0"/>
            <c:spPr>
              <a:solidFill>
                <a:schemeClr val="accent6">
                  <a:lumMod val="75000"/>
                </a:schemeClr>
              </a:solidFill>
              <a:ln w="19050">
                <a:solidFill>
                  <a:schemeClr val="lt1"/>
                </a:solidFill>
              </a:ln>
              <a:effectLst/>
            </c:spPr>
            <c:extLst>
              <c:ext xmlns:c16="http://schemas.microsoft.com/office/drawing/2014/chart" uri="{C3380CC4-5D6E-409C-BE32-E72D297353CC}">
                <c16:uniqueId val="{00000001-4110-4586-8841-FECCED4C5B54}"/>
              </c:ext>
            </c:extLst>
          </c:dPt>
          <c:dPt>
            <c:idx val="1"/>
            <c:bubble3D val="0"/>
            <c:spPr>
              <a:solidFill>
                <a:schemeClr val="accent6">
                  <a:lumMod val="60000"/>
                  <a:lumOff val="40000"/>
                </a:schemeClr>
              </a:solidFill>
              <a:ln w="19050">
                <a:solidFill>
                  <a:schemeClr val="lt1"/>
                </a:solidFill>
              </a:ln>
              <a:effectLst/>
            </c:spPr>
            <c:extLst>
              <c:ext xmlns:c16="http://schemas.microsoft.com/office/drawing/2014/chart" uri="{C3380CC4-5D6E-409C-BE32-E72D297353CC}">
                <c16:uniqueId val="{00000003-4110-4586-8841-FECCED4C5B54}"/>
              </c:ext>
            </c:extLst>
          </c:dPt>
          <c:dPt>
            <c:idx val="2"/>
            <c:bubble3D val="0"/>
            <c:spPr>
              <a:solidFill>
                <a:schemeClr val="accent6">
                  <a:lumMod val="40000"/>
                  <a:lumOff val="60000"/>
                </a:schemeClr>
              </a:solidFill>
              <a:ln w="19050">
                <a:solidFill>
                  <a:schemeClr val="lt1"/>
                </a:solidFill>
              </a:ln>
              <a:effectLst/>
            </c:spPr>
            <c:extLst>
              <c:ext xmlns:c16="http://schemas.microsoft.com/office/drawing/2014/chart" uri="{C3380CC4-5D6E-409C-BE32-E72D297353CC}">
                <c16:uniqueId val="{00000005-4110-4586-8841-FECCED4C5B54}"/>
              </c:ext>
            </c:extLst>
          </c:dPt>
          <c:dLbls>
            <c:dLbl>
              <c:idx val="0"/>
              <c:layout>
                <c:manualLayout>
                  <c:x val="0.20402164668440836"/>
                  <c:y val="-0.12991672093619877"/>
                </c:manualLayout>
              </c:layout>
              <c:tx>
                <c:rich>
                  <a:bodyPr/>
                  <a:lstStyle/>
                  <a:p>
                    <a:r>
                      <a:rPr lang="en-US"/>
                      <a:t>Catalán</a:t>
                    </a:r>
                    <a:r>
                      <a:rPr lang="en-US" baseline="0"/>
                      <a:t>
</a:t>
                    </a:r>
                    <a:fld id="{7E6B78A5-4F1A-45FC-A30B-C5108E6E69AB}" type="PERCENTAGE">
                      <a:rPr lang="en-US" baseline="0"/>
                      <a:pPr/>
                      <a:t>[PORCENTAJE]</a:t>
                    </a:fld>
                    <a:endParaRPr lang="en-US" baseline="0"/>
                  </a:p>
                </c:rich>
              </c:tx>
              <c:showLegendKey val="0"/>
              <c:showVal val="0"/>
              <c:showCatName val="1"/>
              <c:showSerName val="0"/>
              <c:showPercent val="1"/>
              <c:showBubbleSize val="0"/>
              <c:extLst>
                <c:ext xmlns:c15="http://schemas.microsoft.com/office/drawing/2012/chart" uri="{CE6537A1-D6FC-4f65-9D91-7224C49458BB}">
                  <c15:layout>
                    <c:manualLayout>
                      <c:w val="0.20208947893987264"/>
                      <c:h val="0.18843394575678041"/>
                    </c:manualLayout>
                  </c15:layout>
                  <c15:dlblFieldTable/>
                  <c15:showDataLabelsRange val="0"/>
                </c:ext>
                <c:ext xmlns:c16="http://schemas.microsoft.com/office/drawing/2014/chart" uri="{C3380CC4-5D6E-409C-BE32-E72D297353CC}">
                  <c16:uniqueId val="{00000001-4110-4586-8841-FECCED4C5B54}"/>
                </c:ext>
              </c:extLst>
            </c:dLbl>
            <c:dLbl>
              <c:idx val="1"/>
              <c:layout>
                <c:manualLayout>
                  <c:x val="-0.26130797059930916"/>
                  <c:y val="4.629647856517935E-2"/>
                </c:manualLayout>
              </c:layout>
              <c:tx>
                <c:rich>
                  <a:bodyPr/>
                  <a:lstStyle/>
                  <a:p>
                    <a:r>
                      <a:rPr lang="en-US"/>
                      <a:t>Castellano</a:t>
                    </a:r>
                    <a:r>
                      <a:rPr lang="en-US" baseline="0"/>
                      <a:t>
</a:t>
                    </a:r>
                    <a:fld id="{278488EA-8768-4CED-9D14-FB5F55B88E18}" type="PERCENTAGE">
                      <a:rPr lang="en-US" baseline="0"/>
                      <a:pPr/>
                      <a:t>[PORCENTAJE]</a:t>
                    </a:fld>
                    <a:endParaRPr lang="en-US" baseline="0"/>
                  </a:p>
                </c:rich>
              </c:tx>
              <c:showLegendKey val="0"/>
              <c:showVal val="0"/>
              <c:showCatName val="1"/>
              <c:showSerName val="0"/>
              <c:showPercent val="1"/>
              <c:showBubbleSize val="0"/>
              <c:extLst>
                <c:ext xmlns:c15="http://schemas.microsoft.com/office/drawing/2012/chart" uri="{CE6537A1-D6FC-4f65-9D91-7224C49458BB}">
                  <c15:layout>
                    <c:manualLayout>
                      <c:w val="0.27025390017516004"/>
                      <c:h val="0.16760061242344707"/>
                    </c:manualLayout>
                  </c15:layout>
                  <c15:dlblFieldTable/>
                  <c15:showDataLabelsRange val="0"/>
                </c:ext>
                <c:ext xmlns:c16="http://schemas.microsoft.com/office/drawing/2014/chart" uri="{C3380CC4-5D6E-409C-BE32-E72D297353CC}">
                  <c16:uniqueId val="{00000003-4110-4586-8841-FECCED4C5B54}"/>
                </c:ext>
              </c:extLst>
            </c:dLbl>
            <c:dLbl>
              <c:idx val="2"/>
              <c:layout>
                <c:manualLayout>
                  <c:x val="-0.29867246428510108"/>
                  <c:y val="-5.6633977496234042E-2"/>
                </c:manualLayout>
              </c:layout>
              <c:tx>
                <c:rich>
                  <a:bodyPr rot="0" spcFirstLastPara="1" vertOverflow="clip" horzOverflow="clip" vert="horz" wrap="square" lIns="38100" tIns="19050" rIns="38100" bIns="19050" anchor="ctr" anchorCtr="1">
                    <a:noAutofit/>
                  </a:bodyPr>
                  <a:lstStyle/>
                  <a:p>
                    <a:pPr>
                      <a:defRPr sz="800" b="1" i="0" u="none" strike="noStrike" kern="1200" baseline="0">
                        <a:solidFill>
                          <a:sysClr val="windowText" lastClr="000000"/>
                        </a:solidFill>
                        <a:latin typeface="+mj-lt"/>
                        <a:ea typeface="+mn-ea"/>
                        <a:cs typeface="+mn-cs"/>
                      </a:defRPr>
                    </a:pPr>
                    <a:r>
                      <a:rPr lang="en-US"/>
                      <a:t>Castellano y</a:t>
                    </a:r>
                    <a:r>
                      <a:rPr lang="en-US" baseline="0"/>
                      <a:t> Catalán indistintamente
</a:t>
                    </a:r>
                    <a:fld id="{F27FD58D-2D9D-4853-907C-496069E6B3D2}" type="PERCENTAGE">
                      <a:rPr lang="en-US" baseline="0"/>
                      <a:pPr>
                        <a:defRPr sz="800" b="1">
                          <a:solidFill>
                            <a:sysClr val="windowText" lastClr="000000"/>
                          </a:solidFill>
                          <a:latin typeface="+mj-lt"/>
                        </a:defRPr>
                      </a:pPr>
                      <a:t>[PORCENTAJE]</a:t>
                    </a:fld>
                    <a:endParaRPr lang="en-US" baseline="0"/>
                  </a:p>
                </c:rich>
              </c:tx>
              <c:spPr>
                <a:solidFill>
                  <a:sysClr val="window" lastClr="FFFFFF"/>
                </a:solidFill>
                <a:ln>
                  <a:solidFill>
                    <a:sysClr val="window" lastClr="FFFFFF">
                      <a:lumMod val="85000"/>
                    </a:sysClr>
                  </a:solidFill>
                </a:ln>
                <a:effectLst/>
              </c:spPr>
              <c:txPr>
                <a:bodyPr rot="0" spcFirstLastPara="1" vertOverflow="clip" horzOverflow="clip" vert="horz" wrap="square" lIns="38100" tIns="19050" rIns="38100" bIns="19050" anchor="ctr" anchorCtr="1">
                  <a:noAutofit/>
                </a:bodyPr>
                <a:lstStyle/>
                <a:p>
                  <a:pPr>
                    <a:defRPr sz="800" b="1" i="0" u="none" strike="noStrike" kern="1200" baseline="0">
                      <a:solidFill>
                        <a:sysClr val="windowText" lastClr="000000"/>
                      </a:solidFill>
                      <a:latin typeface="+mj-lt"/>
                      <a:ea typeface="+mn-ea"/>
                      <a:cs typeface="+mn-cs"/>
                    </a:defRPr>
                  </a:pPr>
                  <a:endParaRPr lang="en-US"/>
                </a:p>
              </c:txPr>
              <c:showLegendKey val="0"/>
              <c:showVal val="0"/>
              <c:showCatName val="1"/>
              <c:showSerName val="0"/>
              <c:showPercent val="1"/>
              <c:showBubbleSize val="0"/>
              <c:extLst>
                <c:ext xmlns:c15="http://schemas.microsoft.com/office/drawing/2012/chart" uri="{CE6537A1-D6FC-4f65-9D91-7224C49458BB}">
                  <c15:spPr xmlns:c15="http://schemas.microsoft.com/office/drawing/2012/chart">
                    <a:prstGeom prst="wedgeRectCallout">
                      <a:avLst/>
                    </a:prstGeom>
                    <a:noFill/>
                    <a:ln>
                      <a:noFill/>
                    </a:ln>
                  </c15:spPr>
                  <c15:layout>
                    <c:manualLayout>
                      <c:w val="0.19628055639386541"/>
                      <c:h val="0.26881100388767193"/>
                    </c:manualLayout>
                  </c15:layout>
                  <c15:dlblFieldTable/>
                  <c15:showDataLabelsRange val="0"/>
                </c:ext>
                <c:ext xmlns:c16="http://schemas.microsoft.com/office/drawing/2014/chart" uri="{C3380CC4-5D6E-409C-BE32-E72D297353CC}">
                  <c16:uniqueId val="{00000005-4110-4586-8841-FECCED4C5B54}"/>
                </c:ext>
              </c:extLst>
            </c:dLbl>
            <c:spPr>
              <a:solidFill>
                <a:sysClr val="window" lastClr="FFFFFF"/>
              </a:solidFill>
              <a:ln>
                <a:solidFill>
                  <a:sysClr val="window" lastClr="FFFFFF">
                    <a:lumMod val="85000"/>
                  </a:sysClr>
                </a:solidFill>
              </a:ln>
              <a:effectLst/>
            </c:spPr>
            <c:txPr>
              <a:bodyPr rot="0" spcFirstLastPara="1" vertOverflow="clip" horzOverflow="clip" vert="horz" wrap="square" lIns="38100" tIns="19050" rIns="38100" bIns="19050" anchor="ctr" anchorCtr="1">
                <a:spAutoFit/>
              </a:bodyPr>
              <a:lstStyle/>
              <a:p>
                <a:pPr>
                  <a:defRPr sz="800" b="1" i="0" u="none" strike="noStrike" kern="1200" baseline="0">
                    <a:solidFill>
                      <a:sysClr val="windowText" lastClr="000000"/>
                    </a:solidFill>
                    <a:latin typeface="+mj-lt"/>
                    <a:ea typeface="+mn-ea"/>
                    <a:cs typeface="+mn-cs"/>
                  </a:defRPr>
                </a:pPr>
                <a:endParaRPr lang="es-ES"/>
              </a:p>
            </c:txPr>
            <c:showLegendKey val="0"/>
            <c:showVal val="0"/>
            <c:showCatName val="1"/>
            <c:showSerName val="0"/>
            <c:showPercent val="1"/>
            <c:showBubbleSize val="0"/>
            <c:showLeaderLines val="0"/>
            <c:extLst>
              <c:ext xmlns:c15="http://schemas.microsoft.com/office/drawing/2012/chart" uri="{CE6537A1-D6FC-4f65-9D91-7224C49458BB}">
                <c15:spPr xmlns:c15="http://schemas.microsoft.com/office/drawing/2012/chart">
                  <a:prstGeom prst="wedgeRectCallout">
                    <a:avLst/>
                  </a:prstGeom>
                  <a:noFill/>
                  <a:ln>
                    <a:noFill/>
                  </a:ln>
                </c15:spPr>
              </c:ext>
            </c:extLst>
          </c:dLbls>
          <c:cat>
            <c:strRef>
              <c:f>'Idioma arbitratge'!$C$2:$C$4</c:f>
              <c:strCache>
                <c:ptCount val="3"/>
                <c:pt idx="0">
                  <c:v>català</c:v>
                </c:pt>
                <c:pt idx="1">
                  <c:v>castellà</c:v>
                </c:pt>
                <c:pt idx="2">
                  <c:v>castellà i català indistintament</c:v>
                </c:pt>
              </c:strCache>
            </c:strRef>
          </c:cat>
          <c:val>
            <c:numRef>
              <c:f>'Idioma arbitratge'!$D$2:$D$4</c:f>
              <c:numCache>
                <c:formatCode>General</c:formatCode>
                <c:ptCount val="3"/>
                <c:pt idx="0">
                  <c:v>6</c:v>
                </c:pt>
                <c:pt idx="1">
                  <c:v>12</c:v>
                </c:pt>
                <c:pt idx="2">
                  <c:v>4</c:v>
                </c:pt>
              </c:numCache>
            </c:numRef>
          </c:val>
          <c:extLst>
            <c:ext xmlns:c16="http://schemas.microsoft.com/office/drawing/2014/chart" uri="{C3380CC4-5D6E-409C-BE32-E72D297353CC}">
              <c16:uniqueId val="{00000006-4110-4586-8841-FECCED4C5B54}"/>
            </c:ext>
          </c:extLst>
        </c:ser>
        <c:dLbls>
          <c:showLegendKey val="0"/>
          <c:showVal val="0"/>
          <c:showCatName val="0"/>
          <c:showSerName val="0"/>
          <c:showPercent val="0"/>
          <c:showBubbleSize val="0"/>
          <c:showLeaderLines val="0"/>
        </c:dLbls>
        <c:firstSliceAng val="0"/>
        <c:holeSize val="75"/>
      </c:doughnutChart>
      <c:spPr>
        <a:noFill/>
        <a:ln w="9525">
          <a:solidFill>
            <a:sysClr val="window" lastClr="FFFFFF"/>
          </a:solidFill>
        </a:ln>
        <a:effectLst/>
      </c:spPr>
    </c:plotArea>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9525" cap="flat" cmpd="sng" algn="ctr">
      <a:noFill/>
      <a:round/>
    </a:ln>
    <a:effectLst/>
  </c:spPr>
  <c:txPr>
    <a:bodyPr/>
    <a:lstStyle/>
    <a:p>
      <a:pPr>
        <a:defRPr/>
      </a:pPr>
      <a:endParaRPr lang="es-ES"/>
    </a:p>
  </c:txPr>
  <c:externalData r:id="rId4">
    <c:autoUpdate val="0"/>
  </c:externalData>
  <c:userShapes r:id="rId5"/>
</c:chartSpace>
</file>

<file path=word/charts/chart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19404340586458951"/>
          <c:y val="7.9531974391051585E-2"/>
          <c:w val="0.61961279033669181"/>
          <c:h val="0.80330840382870361"/>
        </c:manualLayout>
      </c:layout>
      <c:doughnutChart>
        <c:varyColors val="1"/>
        <c:ser>
          <c:idx val="0"/>
          <c:order val="0"/>
          <c:spPr>
            <a:solidFill>
              <a:schemeClr val="accent6">
                <a:lumMod val="75000"/>
              </a:schemeClr>
            </a:solidFill>
          </c:spPr>
          <c:dPt>
            <c:idx val="0"/>
            <c:bubble3D val="0"/>
            <c:spPr>
              <a:solidFill>
                <a:schemeClr val="accent6">
                  <a:lumMod val="75000"/>
                </a:schemeClr>
              </a:solidFill>
              <a:ln w="19050">
                <a:solidFill>
                  <a:schemeClr val="lt1"/>
                </a:solidFill>
              </a:ln>
              <a:effectLst/>
            </c:spPr>
            <c:extLst>
              <c:ext xmlns:c16="http://schemas.microsoft.com/office/drawing/2014/chart" uri="{C3380CC4-5D6E-409C-BE32-E72D297353CC}">
                <c16:uniqueId val="{00000001-8060-4261-9AD4-915ED938782D}"/>
              </c:ext>
            </c:extLst>
          </c:dPt>
          <c:dPt>
            <c:idx val="1"/>
            <c:bubble3D val="0"/>
            <c:spPr>
              <a:solidFill>
                <a:schemeClr val="accent6">
                  <a:lumMod val="60000"/>
                  <a:lumOff val="40000"/>
                </a:schemeClr>
              </a:solidFill>
              <a:ln w="19050">
                <a:solidFill>
                  <a:schemeClr val="lt1"/>
                </a:solidFill>
              </a:ln>
              <a:effectLst/>
            </c:spPr>
            <c:extLst>
              <c:ext xmlns:c16="http://schemas.microsoft.com/office/drawing/2014/chart" uri="{C3380CC4-5D6E-409C-BE32-E72D297353CC}">
                <c16:uniqueId val="{00000003-8060-4261-9AD4-915ED938782D}"/>
              </c:ext>
            </c:extLst>
          </c:dPt>
          <c:dLbls>
            <c:dLbl>
              <c:idx val="0"/>
              <c:layout>
                <c:manualLayout>
                  <c:x val="0.32254467764908223"/>
                  <c:y val="-3.8886993002614237E-2"/>
                </c:manualLayout>
              </c:layout>
              <c:tx>
                <c:rich>
                  <a:bodyPr/>
                  <a:lstStyle/>
                  <a:p>
                    <a:r>
                      <a:rPr lang="en-US" baseline="0"/>
                      <a:t>Doméstico
</a:t>
                    </a:r>
                    <a:fld id="{39C69CE1-5BC0-4728-9DB6-9164FE3BC850}" type="PERCENTAGE">
                      <a:rPr lang="en-US" baseline="0"/>
                      <a:pPr/>
                      <a:t>[PORCENTAJE]</a:t>
                    </a:fld>
                    <a:endParaRPr lang="en-US" baseline="0"/>
                  </a:p>
                </c:rich>
              </c:tx>
              <c:showLegendKey val="0"/>
              <c:showVal val="0"/>
              <c:showCatName val="1"/>
              <c:showSerName val="0"/>
              <c:showPercent val="1"/>
              <c:showBubbleSize val="0"/>
              <c:extLst>
                <c:ext xmlns:c15="http://schemas.microsoft.com/office/drawing/2012/chart" uri="{CE6537A1-D6FC-4f65-9D91-7224C49458BB}">
                  <c15:dlblFieldTable/>
                  <c15:showDataLabelsRange val="0"/>
                </c:ext>
                <c:ext xmlns:c16="http://schemas.microsoft.com/office/drawing/2014/chart" uri="{C3380CC4-5D6E-409C-BE32-E72D297353CC}">
                  <c16:uniqueId val="{00000001-8060-4261-9AD4-915ED938782D}"/>
                </c:ext>
              </c:extLst>
            </c:dLbl>
            <c:dLbl>
              <c:idx val="1"/>
              <c:layout>
                <c:manualLayout>
                  <c:x val="-0.24166666666666667"/>
                  <c:y val="-4.6296296296296294E-2"/>
                </c:manualLayout>
              </c:layout>
              <c:showLegendKey val="0"/>
              <c:showVal val="0"/>
              <c:showCatName val="1"/>
              <c:showSerName val="0"/>
              <c:showPercent val="1"/>
              <c:showBubbleSize val="0"/>
              <c:extLst>
                <c:ext xmlns:c15="http://schemas.microsoft.com/office/drawing/2012/chart" uri="{CE6537A1-D6FC-4f65-9D91-7224C49458BB}"/>
                <c:ext xmlns:c16="http://schemas.microsoft.com/office/drawing/2014/chart" uri="{C3380CC4-5D6E-409C-BE32-E72D297353CC}">
                  <c16:uniqueId val="{00000003-8060-4261-9AD4-915ED938782D}"/>
                </c:ext>
              </c:extLst>
            </c:dLbl>
            <c:spPr>
              <a:solidFill>
                <a:sysClr val="window" lastClr="FFFFFF"/>
              </a:solidFill>
              <a:ln>
                <a:solidFill>
                  <a:sysClr val="windowText" lastClr="000000">
                    <a:lumMod val="25000"/>
                    <a:lumOff val="75000"/>
                  </a:sysClr>
                </a:solidFill>
              </a:ln>
              <a:effectLst/>
            </c:spPr>
            <c:txPr>
              <a:bodyPr rot="0" spcFirstLastPara="1" vertOverflow="clip" horzOverflow="clip" vert="horz" wrap="square" lIns="38100" tIns="19050" rIns="38100" bIns="19050" anchor="ctr" anchorCtr="1">
                <a:spAutoFit/>
              </a:bodyPr>
              <a:lstStyle/>
              <a:p>
                <a:pPr>
                  <a:defRPr sz="900" b="1" i="0" u="none" strike="noStrike" kern="1200" baseline="0">
                    <a:solidFill>
                      <a:sysClr val="windowText" lastClr="000000"/>
                    </a:solidFill>
                    <a:latin typeface="+mj-lt"/>
                    <a:ea typeface="+mn-ea"/>
                    <a:cs typeface="+mn-cs"/>
                  </a:defRPr>
                </a:pPr>
                <a:endParaRPr lang="es-ES"/>
              </a:p>
            </c:txPr>
            <c:showLegendKey val="0"/>
            <c:showVal val="0"/>
            <c:showCatName val="1"/>
            <c:showSerName val="0"/>
            <c:showPercent val="1"/>
            <c:showBubbleSize val="0"/>
            <c:showLeaderLines val="0"/>
            <c:extLst>
              <c:ext xmlns:c15="http://schemas.microsoft.com/office/drawing/2012/chart" uri="{CE6537A1-D6FC-4f65-9D91-7224C49458BB}">
                <c15:spPr xmlns:c15="http://schemas.microsoft.com/office/drawing/2012/chart">
                  <a:prstGeom prst="wedgeRectCallout">
                    <a:avLst/>
                  </a:prstGeom>
                  <a:noFill/>
                  <a:ln>
                    <a:noFill/>
                  </a:ln>
                </c15:spPr>
              </c:ext>
            </c:extLst>
          </c:dLbls>
          <c:cat>
            <c:strRef>
              <c:f>'Domèstic-internacional'!$C$4:$C$5</c:f>
              <c:strCache>
                <c:ptCount val="2"/>
                <c:pt idx="0">
                  <c:v>Domèstic</c:v>
                </c:pt>
                <c:pt idx="1">
                  <c:v>Internacional</c:v>
                </c:pt>
              </c:strCache>
            </c:strRef>
          </c:cat>
          <c:val>
            <c:numRef>
              <c:f>'Domèstic-internacional'!$D$4:$D$5</c:f>
              <c:numCache>
                <c:formatCode>General</c:formatCode>
                <c:ptCount val="2"/>
                <c:pt idx="0">
                  <c:v>21</c:v>
                </c:pt>
                <c:pt idx="1">
                  <c:v>1</c:v>
                </c:pt>
              </c:numCache>
            </c:numRef>
          </c:val>
          <c:extLst>
            <c:ext xmlns:c16="http://schemas.microsoft.com/office/drawing/2014/chart" uri="{C3380CC4-5D6E-409C-BE32-E72D297353CC}">
              <c16:uniqueId val="{00000004-8060-4261-9AD4-915ED938782D}"/>
            </c:ext>
          </c:extLst>
        </c:ser>
        <c:dLbls>
          <c:showLegendKey val="0"/>
          <c:showVal val="0"/>
          <c:showCatName val="0"/>
          <c:showSerName val="0"/>
          <c:showPercent val="0"/>
          <c:showBubbleSize val="0"/>
          <c:showLeaderLines val="0"/>
        </c:dLbls>
        <c:firstSliceAng val="0"/>
        <c:holeSize val="75"/>
      </c:doughnutChart>
      <c:spPr>
        <a:noFill/>
        <a:ln w="9525">
          <a:noFill/>
        </a:ln>
        <a:effectLst/>
      </c:spPr>
    </c:plotArea>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9525" cap="flat" cmpd="sng" algn="ctr">
      <a:noFill/>
      <a:round/>
    </a:ln>
    <a:effectLst/>
  </c:spPr>
  <c:txPr>
    <a:bodyPr/>
    <a:lstStyle/>
    <a:p>
      <a:pPr>
        <a:defRPr/>
      </a:pPr>
      <a:endParaRPr lang="es-ES"/>
    </a:p>
  </c:txPr>
  <c:externalData r:id="rId3">
    <c:autoUpdate val="0"/>
  </c:externalData>
  <c:userShapes r:id="rId4"/>
</c:chartSpace>
</file>

<file path=word/charts/chart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1141981962231519"/>
          <c:y val="4.4788975021533159E-2"/>
          <c:w val="0.86878710926795399"/>
          <c:h val="0.8443296913467212"/>
        </c:manualLayout>
      </c:layout>
      <c:barChart>
        <c:barDir val="col"/>
        <c:grouping val="clustered"/>
        <c:varyColors val="0"/>
        <c:ser>
          <c:idx val="0"/>
          <c:order val="0"/>
          <c:spPr>
            <a:solidFill>
              <a:schemeClr val="accent6">
                <a:lumMod val="75000"/>
              </a:schemeClr>
            </a:solidFill>
            <a:ln>
              <a:noFill/>
            </a:ln>
            <a:effectLst/>
          </c:spPr>
          <c:invertIfNegative val="0"/>
          <c:dLbls>
            <c:spPr>
              <a:noFill/>
              <a:ln>
                <a:noFill/>
              </a:ln>
              <a:effectLst/>
            </c:spPr>
            <c:txPr>
              <a:bodyPr rot="0" spcFirstLastPara="1" vertOverflow="clip" horzOverflow="clip" vert="horz" wrap="square" lIns="36576" tIns="18288" rIns="36576" bIns="18288" anchor="ctr" anchorCtr="1">
                <a:spAutoFit/>
              </a:bodyPr>
              <a:lstStyle/>
              <a:p>
                <a:pPr>
                  <a:defRPr sz="900" b="1" i="0" u="none" strike="noStrike" kern="1200" baseline="0">
                    <a:solidFill>
                      <a:schemeClr val="tx1"/>
                    </a:solidFill>
                    <a:latin typeface="+mj-lt"/>
                    <a:ea typeface="+mn-ea"/>
                    <a:cs typeface="+mn-cs"/>
                  </a:defRPr>
                </a:pPr>
                <a:endParaRPr lang="es-ES"/>
              </a:p>
            </c:txPr>
            <c:showLegendKey val="0"/>
            <c:showVal val="1"/>
            <c:showCatName val="0"/>
            <c:showSerName val="0"/>
            <c:showPercent val="0"/>
            <c:showBubbleSize val="0"/>
            <c:showLeaderLines val="0"/>
            <c:extLst>
              <c:ext xmlns:c15="http://schemas.microsoft.com/office/drawing/2012/chart" uri="{CE6537A1-D6FC-4f65-9D91-7224C49458BB}">
                <c15:spPr xmlns:c15="http://schemas.microsoft.com/office/drawing/2012/chart">
                  <a:prstGeom prst="wedgeRectCallout">
                    <a:avLst/>
                  </a:prstGeom>
                  <a:noFill/>
                  <a:ln>
                    <a:noFill/>
                  </a:ln>
                </c15:spPr>
                <c15:showLeaderLines val="0"/>
              </c:ext>
            </c:extLst>
          </c:dLbls>
          <c:cat>
            <c:strRef>
              <c:f>Quantia!$C$25:$C$31</c:f>
              <c:strCache>
                <c:ptCount val="7"/>
                <c:pt idx="0">
                  <c:v>Cuantía total</c:v>
                </c:pt>
                <c:pt idx="1">
                  <c:v>Cuantia total sin variaciones cuantía</c:v>
                </c:pt>
                <c:pt idx="2">
                  <c:v>Variaciones cuantía</c:v>
                </c:pt>
                <c:pt idx="3">
                  <c:v>Cuantía mínima</c:v>
                </c:pt>
                <c:pt idx="4">
                  <c:v>Cuantía màxima</c:v>
                </c:pt>
                <c:pt idx="5">
                  <c:v>Cuantía media sin variaciones cuantía</c:v>
                </c:pt>
                <c:pt idx="6">
                  <c:v>Cuantia media con variaciones cuantía</c:v>
                </c:pt>
              </c:strCache>
            </c:strRef>
          </c:cat>
          <c:val>
            <c:numRef>
              <c:f>Quantia!$D$25:$D$31</c:f>
              <c:numCache>
                <c:formatCode>#,##0.00\ "€";[Red]#,##0.00\ "€"</c:formatCode>
                <c:ptCount val="7"/>
                <c:pt idx="0">
                  <c:v>17904101.010000002</c:v>
                </c:pt>
                <c:pt idx="1">
                  <c:v>15313912.350000001</c:v>
                </c:pt>
                <c:pt idx="2">
                  <c:v>2590188.6599999997</c:v>
                </c:pt>
                <c:pt idx="3">
                  <c:v>6300</c:v>
                </c:pt>
                <c:pt idx="4">
                  <c:v>11490856.970000001</c:v>
                </c:pt>
                <c:pt idx="5">
                  <c:v>696086.92500000005</c:v>
                </c:pt>
                <c:pt idx="6">
                  <c:v>813822.77318181831</c:v>
                </c:pt>
              </c:numCache>
            </c:numRef>
          </c:val>
          <c:extLst>
            <c:ext xmlns:c16="http://schemas.microsoft.com/office/drawing/2014/chart" uri="{C3380CC4-5D6E-409C-BE32-E72D297353CC}">
              <c16:uniqueId val="{00000000-00FC-4659-9EC2-70BAECE1AED4}"/>
            </c:ext>
          </c:extLst>
        </c:ser>
        <c:dLbls>
          <c:showLegendKey val="0"/>
          <c:showVal val="0"/>
          <c:showCatName val="0"/>
          <c:showSerName val="0"/>
          <c:showPercent val="0"/>
          <c:showBubbleSize val="0"/>
        </c:dLbls>
        <c:gapWidth val="219"/>
        <c:overlap val="-27"/>
        <c:axId val="227522048"/>
        <c:axId val="227523584"/>
      </c:barChart>
      <c:catAx>
        <c:axId val="227522048"/>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800" b="1" i="0" u="none" strike="noStrike" kern="1200" baseline="0">
                <a:solidFill>
                  <a:schemeClr val="tx1">
                    <a:lumMod val="65000"/>
                    <a:lumOff val="35000"/>
                  </a:schemeClr>
                </a:solidFill>
                <a:latin typeface="+mj-lt"/>
                <a:ea typeface="+mn-ea"/>
                <a:cs typeface="+mn-cs"/>
              </a:defRPr>
            </a:pPr>
            <a:endParaRPr lang="es-ES"/>
          </a:p>
        </c:txPr>
        <c:crossAx val="227523584"/>
        <c:crosses val="autoZero"/>
        <c:auto val="1"/>
        <c:lblAlgn val="ctr"/>
        <c:lblOffset val="100"/>
        <c:noMultiLvlLbl val="0"/>
      </c:catAx>
      <c:valAx>
        <c:axId val="227523584"/>
        <c:scaling>
          <c:orientation val="minMax"/>
        </c:scaling>
        <c:delete val="0"/>
        <c:axPos val="l"/>
        <c:numFmt formatCode="#,##0.00\ &quot;€&quot;;[Red]#,##0.00\ &quot;€&quot;" sourceLinked="1"/>
        <c:majorTickMark val="none"/>
        <c:minorTickMark val="none"/>
        <c:tickLblPos val="nextTo"/>
        <c:spPr>
          <a:noFill/>
          <a:ln>
            <a:noFill/>
          </a:ln>
          <a:effectLst/>
        </c:spPr>
        <c:txPr>
          <a:bodyPr rot="-60000000" spcFirstLastPara="1" vertOverflow="ellipsis" vert="horz" wrap="square" anchor="ctr" anchorCtr="1"/>
          <a:lstStyle/>
          <a:p>
            <a:pPr>
              <a:defRPr sz="900" b="1" i="0" u="none" strike="noStrike" kern="1200" baseline="0">
                <a:solidFill>
                  <a:schemeClr val="tx1"/>
                </a:solidFill>
                <a:latin typeface="+mj-lt"/>
                <a:ea typeface="+mn-ea"/>
                <a:cs typeface="+mn-cs"/>
              </a:defRPr>
            </a:pPr>
            <a:endParaRPr lang="es-ES"/>
          </a:p>
        </c:txPr>
        <c:crossAx val="227522048"/>
        <c:crosses val="autoZero"/>
        <c:crossBetween val="between"/>
      </c:valAx>
      <c:spPr>
        <a:noFill/>
        <a:ln>
          <a:noFill/>
        </a:ln>
        <a:effectLst/>
      </c:spPr>
    </c:plotArea>
    <c:plotVisOnly val="1"/>
    <c:dispBlanksAs val="gap"/>
    <c:showDLblsOverMax val="0"/>
  </c:chart>
  <c:spPr>
    <a:solidFill>
      <a:schemeClr val="bg1"/>
    </a:solidFill>
    <a:ln w="9525" cap="flat" cmpd="sng" algn="ctr">
      <a:noFill/>
      <a:round/>
    </a:ln>
    <a:effectLst/>
  </c:spPr>
  <c:txPr>
    <a:bodyPr/>
    <a:lstStyle/>
    <a:p>
      <a:pPr>
        <a:defRPr sz="900">
          <a:latin typeface="+mj-lt"/>
        </a:defRPr>
      </a:pPr>
      <a:endParaRPr lang="es-ES"/>
    </a:p>
  </c:txPr>
  <c:externalData r:id="rId3">
    <c:autoUpdate val="0"/>
  </c:externalData>
</c:chartSpace>
</file>

<file path=word/charts/chart7.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19938017638654651"/>
          <c:y val="0.12680885361770725"/>
          <c:w val="0.55582816813655445"/>
          <c:h val="0.80201190402380795"/>
        </c:manualLayout>
      </c:layout>
      <c:doughnutChart>
        <c:varyColors val="1"/>
        <c:ser>
          <c:idx val="0"/>
          <c:order val="0"/>
          <c:spPr>
            <a:solidFill>
              <a:schemeClr val="accent6">
                <a:lumMod val="75000"/>
              </a:schemeClr>
            </a:solidFill>
          </c:spPr>
          <c:dPt>
            <c:idx val="0"/>
            <c:bubble3D val="0"/>
            <c:explosion val="1"/>
            <c:spPr>
              <a:solidFill>
                <a:schemeClr val="accent6">
                  <a:lumMod val="60000"/>
                  <a:lumOff val="40000"/>
                </a:schemeClr>
              </a:solidFill>
              <a:ln w="19050">
                <a:solidFill>
                  <a:schemeClr val="lt1"/>
                </a:solidFill>
              </a:ln>
              <a:effectLst/>
            </c:spPr>
            <c:extLst>
              <c:ext xmlns:c16="http://schemas.microsoft.com/office/drawing/2014/chart" uri="{C3380CC4-5D6E-409C-BE32-E72D297353CC}">
                <c16:uniqueId val="{00000001-E2A2-4EE7-A8B5-E931BE9E3CD6}"/>
              </c:ext>
            </c:extLst>
          </c:dPt>
          <c:dPt>
            <c:idx val="1"/>
            <c:bubble3D val="0"/>
            <c:spPr>
              <a:solidFill>
                <a:schemeClr val="accent6">
                  <a:lumMod val="75000"/>
                </a:schemeClr>
              </a:solidFill>
              <a:ln w="19050">
                <a:solidFill>
                  <a:schemeClr val="lt1"/>
                </a:solidFill>
              </a:ln>
              <a:effectLst/>
            </c:spPr>
            <c:extLst>
              <c:ext xmlns:c16="http://schemas.microsoft.com/office/drawing/2014/chart" uri="{C3380CC4-5D6E-409C-BE32-E72D297353CC}">
                <c16:uniqueId val="{00000003-E2A2-4EE7-A8B5-E931BE9E3CD6}"/>
              </c:ext>
            </c:extLst>
          </c:dPt>
          <c:dPt>
            <c:idx val="2"/>
            <c:bubble3D val="0"/>
            <c:spPr>
              <a:solidFill>
                <a:schemeClr val="accent6">
                  <a:lumMod val="40000"/>
                  <a:lumOff val="60000"/>
                </a:schemeClr>
              </a:solidFill>
              <a:ln w="19050">
                <a:solidFill>
                  <a:schemeClr val="lt1"/>
                </a:solidFill>
              </a:ln>
              <a:effectLst/>
            </c:spPr>
            <c:extLst>
              <c:ext xmlns:c16="http://schemas.microsoft.com/office/drawing/2014/chart" uri="{C3380CC4-5D6E-409C-BE32-E72D297353CC}">
                <c16:uniqueId val="{00000005-E2A2-4EE7-A8B5-E931BE9E3CD6}"/>
              </c:ext>
            </c:extLst>
          </c:dPt>
          <c:dPt>
            <c:idx val="3"/>
            <c:bubble3D val="0"/>
            <c:spPr>
              <a:solidFill>
                <a:schemeClr val="accent6">
                  <a:lumMod val="20000"/>
                  <a:lumOff val="80000"/>
                </a:schemeClr>
              </a:solidFill>
              <a:ln w="19050">
                <a:solidFill>
                  <a:schemeClr val="lt1"/>
                </a:solidFill>
              </a:ln>
              <a:effectLst/>
            </c:spPr>
            <c:extLst>
              <c:ext xmlns:c16="http://schemas.microsoft.com/office/drawing/2014/chart" uri="{C3380CC4-5D6E-409C-BE32-E72D297353CC}">
                <c16:uniqueId val="{00000007-E2A2-4EE7-A8B5-E931BE9E3CD6}"/>
              </c:ext>
            </c:extLst>
          </c:dPt>
          <c:dLbls>
            <c:dLbl>
              <c:idx val="0"/>
              <c:layout>
                <c:manualLayout>
                  <c:x val="0.1350055844083318"/>
                  <c:y val="-0.27754110307317681"/>
                </c:manualLayout>
              </c:layout>
              <c:showLegendKey val="0"/>
              <c:showVal val="0"/>
              <c:showCatName val="0"/>
              <c:showSerName val="0"/>
              <c:showPercent val="1"/>
              <c:showBubbleSize val="0"/>
              <c:extLst>
                <c:ext xmlns:c15="http://schemas.microsoft.com/office/drawing/2012/chart" uri="{CE6537A1-D6FC-4f65-9D91-7224C49458BB}"/>
                <c:ext xmlns:c16="http://schemas.microsoft.com/office/drawing/2014/chart" uri="{C3380CC4-5D6E-409C-BE32-E72D297353CC}">
                  <c16:uniqueId val="{00000001-E2A2-4EE7-A8B5-E931BE9E3CD6}"/>
                </c:ext>
              </c:extLst>
            </c:dLbl>
            <c:dLbl>
              <c:idx val="1"/>
              <c:layout>
                <c:manualLayout>
                  <c:x val="-0.16813185485170426"/>
                  <c:y val="7.4135098270196542E-2"/>
                </c:manualLayout>
              </c:layout>
              <c:spPr>
                <a:solidFill>
                  <a:sysClr val="window" lastClr="FFFFFF"/>
                </a:solidFill>
                <a:ln>
                  <a:solidFill>
                    <a:sysClr val="windowText" lastClr="000000">
                      <a:lumMod val="25000"/>
                      <a:lumOff val="75000"/>
                    </a:sysClr>
                  </a:solidFill>
                </a:ln>
                <a:effectLst/>
              </c:spPr>
              <c:txPr>
                <a:bodyPr rot="0" spcFirstLastPara="1" vertOverflow="clip" horzOverflow="clip" vert="horz" wrap="square" lIns="38100" tIns="19050" rIns="38100" bIns="19050" anchor="ctr" anchorCtr="1">
                  <a:noAutofit/>
                </a:bodyPr>
                <a:lstStyle/>
                <a:p>
                  <a:pPr>
                    <a:defRPr sz="900" b="1" i="0" u="none" strike="noStrike" baseline="0">
                      <a:solidFill>
                        <a:sysClr val="windowText" lastClr="000000"/>
                      </a:solidFill>
                      <a:latin typeface="+mj-lt"/>
                      <a:ea typeface="+mn-ea"/>
                      <a:cs typeface="+mn-cs"/>
                    </a:defRPr>
                  </a:pPr>
                  <a:endParaRPr lang="es-ES"/>
                </a:p>
              </c:txPr>
              <c:showLegendKey val="0"/>
              <c:showVal val="0"/>
              <c:showCatName val="0"/>
              <c:showSerName val="0"/>
              <c:showPercent val="1"/>
              <c:showBubbleSize val="0"/>
              <c:extLst>
                <c:ext xmlns:c15="http://schemas.microsoft.com/office/drawing/2012/chart" uri="{CE6537A1-D6FC-4f65-9D91-7224C49458BB}">
                  <c15:spPr xmlns:c15="http://schemas.microsoft.com/office/drawing/2012/chart">
                    <a:prstGeom prst="wedgeRectCallout">
                      <a:avLst/>
                    </a:prstGeom>
                    <a:noFill/>
                    <a:ln>
                      <a:noFill/>
                    </a:ln>
                  </c15:spPr>
                  <c15:layout>
                    <c:manualLayout>
                      <c:w val="0.14495057798626235"/>
                      <c:h val="7.2070528429995909E-2"/>
                    </c:manualLayout>
                  </c15:layout>
                </c:ext>
                <c:ext xmlns:c16="http://schemas.microsoft.com/office/drawing/2014/chart" uri="{C3380CC4-5D6E-409C-BE32-E72D297353CC}">
                  <c16:uniqueId val="{00000003-E2A2-4EE7-A8B5-E931BE9E3CD6}"/>
                </c:ext>
              </c:extLst>
            </c:dLbl>
            <c:dLbl>
              <c:idx val="2"/>
              <c:layout>
                <c:manualLayout>
                  <c:x val="-0.16543265203551683"/>
                  <c:y val="-0.10554416025310606"/>
                </c:manualLayout>
              </c:layout>
              <c:spPr>
                <a:solidFill>
                  <a:sysClr val="window" lastClr="FFFFFF"/>
                </a:solidFill>
                <a:ln>
                  <a:solidFill>
                    <a:sysClr val="windowText" lastClr="000000">
                      <a:lumMod val="25000"/>
                      <a:lumOff val="75000"/>
                    </a:sysClr>
                  </a:solidFill>
                </a:ln>
                <a:effectLst/>
              </c:spPr>
              <c:txPr>
                <a:bodyPr rot="0" spcFirstLastPara="1" vertOverflow="clip" horzOverflow="clip" vert="horz" wrap="square" lIns="38100" tIns="19050" rIns="38100" bIns="19050" anchor="ctr" anchorCtr="1">
                  <a:noAutofit/>
                </a:bodyPr>
                <a:lstStyle/>
                <a:p>
                  <a:pPr>
                    <a:defRPr sz="900" b="1" i="0" u="none" strike="noStrike" baseline="0">
                      <a:solidFill>
                        <a:sysClr val="windowText" lastClr="000000"/>
                      </a:solidFill>
                      <a:latin typeface="+mj-lt"/>
                      <a:ea typeface="+mn-ea"/>
                      <a:cs typeface="+mn-cs"/>
                    </a:defRPr>
                  </a:pPr>
                  <a:endParaRPr lang="es-ES"/>
                </a:p>
              </c:txPr>
              <c:showLegendKey val="0"/>
              <c:showVal val="0"/>
              <c:showCatName val="0"/>
              <c:showSerName val="0"/>
              <c:showPercent val="1"/>
              <c:showBubbleSize val="0"/>
              <c:extLst>
                <c:ext xmlns:c15="http://schemas.microsoft.com/office/drawing/2012/chart" uri="{CE6537A1-D6FC-4f65-9D91-7224C49458BB}">
                  <c15:spPr xmlns:c15="http://schemas.microsoft.com/office/drawing/2012/chart">
                    <a:prstGeom prst="wedgeRectCallout">
                      <a:avLst/>
                    </a:prstGeom>
                    <a:noFill/>
                    <a:ln>
                      <a:noFill/>
                    </a:ln>
                  </c15:spPr>
                  <c15:layout>
                    <c:manualLayout>
                      <c:w val="0.14127034120734908"/>
                      <c:h val="8.447490191904454E-2"/>
                    </c:manualLayout>
                  </c15:layout>
                </c:ext>
                <c:ext xmlns:c16="http://schemas.microsoft.com/office/drawing/2014/chart" uri="{C3380CC4-5D6E-409C-BE32-E72D297353CC}">
                  <c16:uniqueId val="{00000005-E2A2-4EE7-A8B5-E931BE9E3CD6}"/>
                </c:ext>
              </c:extLst>
            </c:dLbl>
            <c:dLbl>
              <c:idx val="3"/>
              <c:layout>
                <c:manualLayout>
                  <c:x val="-6.7375886524822723E-2"/>
                  <c:y val="-0.12132347452053821"/>
                </c:manualLayout>
              </c:layout>
              <c:showLegendKey val="0"/>
              <c:showVal val="0"/>
              <c:showCatName val="0"/>
              <c:showSerName val="0"/>
              <c:showPercent val="1"/>
              <c:showBubbleSize val="0"/>
              <c:extLst>
                <c:ext xmlns:c15="http://schemas.microsoft.com/office/drawing/2012/chart" uri="{CE6537A1-D6FC-4f65-9D91-7224C49458BB}"/>
                <c:ext xmlns:c16="http://schemas.microsoft.com/office/drawing/2014/chart" uri="{C3380CC4-5D6E-409C-BE32-E72D297353CC}">
                  <c16:uniqueId val="{00000007-E2A2-4EE7-A8B5-E931BE9E3CD6}"/>
                </c:ext>
              </c:extLst>
            </c:dLbl>
            <c:spPr>
              <a:solidFill>
                <a:sysClr val="window" lastClr="FFFFFF"/>
              </a:solidFill>
              <a:ln>
                <a:solidFill>
                  <a:sysClr val="windowText" lastClr="000000">
                    <a:lumMod val="25000"/>
                    <a:lumOff val="75000"/>
                  </a:sysClr>
                </a:solidFill>
              </a:ln>
              <a:effectLst/>
            </c:spPr>
            <c:txPr>
              <a:bodyPr rot="0" spcFirstLastPara="1" vertOverflow="clip" horzOverflow="clip" vert="horz" wrap="square" lIns="38100" tIns="19050" rIns="38100" bIns="19050" anchor="ctr" anchorCtr="1">
                <a:spAutoFit/>
              </a:bodyPr>
              <a:lstStyle/>
              <a:p>
                <a:pPr>
                  <a:defRPr sz="900" b="1" i="0" u="none" strike="noStrike" baseline="0">
                    <a:solidFill>
                      <a:sysClr val="windowText" lastClr="000000"/>
                    </a:solidFill>
                    <a:latin typeface="+mj-lt"/>
                    <a:ea typeface="+mn-ea"/>
                    <a:cs typeface="+mn-cs"/>
                  </a:defRPr>
                </a:pPr>
                <a:endParaRPr lang="es-ES"/>
              </a:p>
            </c:txPr>
            <c:showLegendKey val="0"/>
            <c:showVal val="0"/>
            <c:showCatName val="0"/>
            <c:showSerName val="0"/>
            <c:showPercent val="1"/>
            <c:showBubbleSize val="0"/>
            <c:showLeaderLines val="0"/>
            <c:extLst>
              <c:ext xmlns:c15="http://schemas.microsoft.com/office/drawing/2012/chart" uri="{CE6537A1-D6FC-4f65-9D91-7224C49458BB}">
                <c15:spPr xmlns:c15="http://schemas.microsoft.com/office/drawing/2012/chart">
                  <a:prstGeom prst="wedgeRectCallout">
                    <a:avLst/>
                  </a:prstGeom>
                  <a:noFill/>
                  <a:ln>
                    <a:noFill/>
                  </a:ln>
                </c15:spPr>
              </c:ext>
            </c:extLst>
          </c:dLbls>
          <c:cat>
            <c:strRef>
              <c:f>'Trams quantia'!$O$20:$O$23</c:f>
              <c:strCache>
                <c:ptCount val="4"/>
                <c:pt idx="0">
                  <c:v>Fins a 20.000€</c:v>
                </c:pt>
                <c:pt idx="1">
                  <c:v>de 20.001€ a 600.000€</c:v>
                </c:pt>
                <c:pt idx="2">
                  <c:v>de 600.001€ a 1.500.000€</c:v>
                </c:pt>
                <c:pt idx="3">
                  <c:v>superior a 1.500.000,-€</c:v>
                </c:pt>
              </c:strCache>
            </c:strRef>
          </c:cat>
          <c:val>
            <c:numRef>
              <c:f>'Trams quantia'!$Q$20:$Q$23</c:f>
              <c:numCache>
                <c:formatCode>0%</c:formatCode>
                <c:ptCount val="4"/>
                <c:pt idx="0">
                  <c:v>0.36363636363636365</c:v>
                </c:pt>
                <c:pt idx="1">
                  <c:v>0.5</c:v>
                </c:pt>
                <c:pt idx="2">
                  <c:v>9.0909090909090912E-2</c:v>
                </c:pt>
                <c:pt idx="3">
                  <c:v>4.5454545454545456E-2</c:v>
                </c:pt>
              </c:numCache>
            </c:numRef>
          </c:val>
          <c:extLst>
            <c:ext xmlns:c16="http://schemas.microsoft.com/office/drawing/2014/chart" uri="{C3380CC4-5D6E-409C-BE32-E72D297353CC}">
              <c16:uniqueId val="{00000008-E2A2-4EE7-A8B5-E931BE9E3CD6}"/>
            </c:ext>
          </c:extLst>
        </c:ser>
        <c:dLbls>
          <c:showLegendKey val="0"/>
          <c:showVal val="0"/>
          <c:showCatName val="0"/>
          <c:showSerName val="0"/>
          <c:showPercent val="0"/>
          <c:showBubbleSize val="0"/>
          <c:showLeaderLines val="0"/>
        </c:dLbls>
        <c:firstSliceAng val="0"/>
        <c:holeSize val="75"/>
      </c:doughnutChart>
      <c:spPr>
        <a:noFill/>
        <a:ln w="9525">
          <a:noFill/>
        </a:ln>
        <a:effectLst/>
      </c:spPr>
    </c:plotArea>
    <c:legend>
      <c:legendPos val="r"/>
      <c:layout>
        <c:manualLayout>
          <c:xMode val="edge"/>
          <c:yMode val="edge"/>
          <c:x val="0.78723404255319152"/>
          <c:y val="0.18063616173852395"/>
          <c:w val="0.20921985815602837"/>
          <c:h val="0.79807940091404661"/>
        </c:manualLayout>
      </c:layout>
      <c:overlay val="0"/>
      <c:spPr>
        <a:noFill/>
        <a:ln>
          <a:noFill/>
        </a:ln>
        <a:effectLst/>
      </c:spPr>
      <c:txPr>
        <a:bodyPr rot="0" spcFirstLastPara="1" vertOverflow="ellipsis" vert="horz" wrap="square" anchor="ctr" anchorCtr="1"/>
        <a:lstStyle/>
        <a:p>
          <a:pPr>
            <a:defRPr sz="800" b="1" i="0" u="none" strike="noStrike" baseline="0">
              <a:solidFill>
                <a:schemeClr val="tx1">
                  <a:lumMod val="65000"/>
                  <a:lumOff val="35000"/>
                </a:schemeClr>
              </a:solidFill>
              <a:latin typeface="+mj-lt"/>
              <a:ea typeface="+mn-ea"/>
              <a:cs typeface="+mn-cs"/>
            </a:defRPr>
          </a:pPr>
          <a:endParaRPr lang="es-ES"/>
        </a:p>
      </c:txPr>
    </c:legend>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9525" cap="flat" cmpd="sng" algn="ctr">
      <a:noFill/>
      <a:round/>
    </a:ln>
    <a:effectLst/>
  </c:spPr>
  <c:txPr>
    <a:bodyPr/>
    <a:lstStyle/>
    <a:p>
      <a:pPr>
        <a:defRPr/>
      </a:pPr>
      <a:endParaRPr lang="es-ES"/>
    </a:p>
  </c:txPr>
  <c:externalData r:id="rId3">
    <c:autoUpdate val="0"/>
  </c:externalData>
  <c:userShapes r:id="rId4"/>
</c:chartSpace>
</file>

<file path=word/charts/chart8.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25219003738069862"/>
          <c:y val="2.5951147998392087E-3"/>
          <c:w val="0.70177521477937532"/>
          <c:h val="0.95596203321119511"/>
        </c:manualLayout>
      </c:layout>
      <c:barChart>
        <c:barDir val="bar"/>
        <c:grouping val="clustered"/>
        <c:varyColors val="0"/>
        <c:ser>
          <c:idx val="1"/>
          <c:order val="1"/>
          <c:tx>
            <c:strRef>
              <c:f>Durada!$J$26</c:f>
              <c:strCache>
                <c:ptCount val="1"/>
                <c:pt idx="0">
                  <c:v>meses</c:v>
                </c:pt>
              </c:strCache>
            </c:strRef>
          </c:tx>
          <c:spPr>
            <a:solidFill>
              <a:schemeClr val="accent6">
                <a:lumMod val="75000"/>
              </a:schemeClr>
            </a:solidFill>
            <a:ln>
              <a:noFill/>
            </a:ln>
            <a:effectLst/>
          </c:spPr>
          <c:invertIfNegative val="0"/>
          <c:dLbls>
            <c:spPr>
              <a:noFill/>
              <a:ln>
                <a:noFill/>
              </a:ln>
              <a:effectLst/>
            </c:spPr>
            <c:txPr>
              <a:bodyPr rot="0" spcFirstLastPara="1" vertOverflow="ellipsis" vert="horz" wrap="square" anchor="ctr" anchorCtr="1"/>
              <a:lstStyle/>
              <a:p>
                <a:pPr>
                  <a:defRPr sz="900" b="1" i="0" u="none" strike="noStrike" kern="1200" baseline="0">
                    <a:solidFill>
                      <a:sysClr val="windowText" lastClr="000000"/>
                    </a:solidFill>
                    <a:latin typeface="+mj-lt"/>
                    <a:ea typeface="+mn-ea"/>
                    <a:cs typeface="+mn-cs"/>
                  </a:defRPr>
                </a:pPr>
                <a:endParaRPr lang="es-E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multiLvlStrRef>
              <c:f>Durada!$G$27:$H$31</c:f>
              <c:multiLvlStrCache>
                <c:ptCount val="4"/>
                <c:lvl>
                  <c:pt idx="1">
                    <c:v>media acotada</c:v>
                  </c:pt>
                  <c:pt idx="3">
                    <c:v>media acotada</c:v>
                  </c:pt>
                </c:lvl>
                <c:lvl>
                  <c:pt idx="1">
                    <c:v>Prearbitral</c:v>
                  </c:pt>
                  <c:pt idx="3">
                    <c:v>Arbitral </c:v>
                  </c:pt>
                </c:lvl>
              </c:multiLvlStrCache>
            </c:multiLvlStrRef>
          </c:cat>
          <c:val>
            <c:numRef>
              <c:f>Durada!$J$27:$J$31</c:f>
              <c:numCache>
                <c:formatCode>#,##0.0</c:formatCode>
                <c:ptCount val="5"/>
                <c:pt idx="1">
                  <c:v>4.1187499999999995</c:v>
                </c:pt>
                <c:pt idx="3">
                  <c:v>6.6291666666666655</c:v>
                </c:pt>
              </c:numCache>
            </c:numRef>
          </c:val>
          <c:extLst>
            <c:ext xmlns:c16="http://schemas.microsoft.com/office/drawing/2014/chart" uri="{C3380CC4-5D6E-409C-BE32-E72D297353CC}">
              <c16:uniqueId val="{00000000-562D-4C3A-ACC8-EC995AD00B68}"/>
            </c:ext>
          </c:extLst>
        </c:ser>
        <c:dLbls>
          <c:showLegendKey val="0"/>
          <c:showVal val="0"/>
          <c:showCatName val="0"/>
          <c:showSerName val="0"/>
          <c:showPercent val="0"/>
          <c:showBubbleSize val="0"/>
        </c:dLbls>
        <c:gapWidth val="182"/>
        <c:axId val="472384848"/>
        <c:axId val="472382448"/>
        <c:extLst>
          <c:ext xmlns:c15="http://schemas.microsoft.com/office/drawing/2012/chart" uri="{02D57815-91ED-43cb-92C2-25804820EDAC}">
            <c15:filteredBarSeries>
              <c15:ser>
                <c:idx val="0"/>
                <c:order val="0"/>
                <c:tx>
                  <c:strRef>
                    <c:extLst>
                      <c:ext uri="{02D57815-91ED-43cb-92C2-25804820EDAC}">
                        <c15:formulaRef>
                          <c15:sqref>Durada!$I$26</c15:sqref>
                        </c15:formulaRef>
                      </c:ext>
                    </c:extLst>
                    <c:strCache>
                      <c:ptCount val="1"/>
                      <c:pt idx="0">
                        <c:v>dies</c:v>
                      </c:pt>
                    </c:strCache>
                  </c:strRef>
                </c:tx>
                <c:spPr>
                  <a:solidFill>
                    <a:schemeClr val="accent1"/>
                  </a:solidFill>
                  <a:ln>
                    <a:noFill/>
                  </a:ln>
                  <a:effectLst/>
                </c:spPr>
                <c:invertIfNegative val="0"/>
                <c:cat>
                  <c:multiLvlStrRef>
                    <c:extLst>
                      <c:ext uri="{02D57815-91ED-43cb-92C2-25804820EDAC}">
                        <c15:formulaRef>
                          <c15:sqref>Durada!$G$27:$H$31</c15:sqref>
                        </c15:formulaRef>
                      </c:ext>
                    </c:extLst>
                    <c:multiLvlStrCache>
                      <c:ptCount val="4"/>
                      <c:lvl>
                        <c:pt idx="1">
                          <c:v>media acotada</c:v>
                        </c:pt>
                        <c:pt idx="3">
                          <c:v>media acotada</c:v>
                        </c:pt>
                      </c:lvl>
                      <c:lvl>
                        <c:pt idx="1">
                          <c:v>Prearbitral</c:v>
                        </c:pt>
                        <c:pt idx="3">
                          <c:v>Arbitral </c:v>
                        </c:pt>
                      </c:lvl>
                    </c:multiLvlStrCache>
                  </c:multiLvlStrRef>
                </c:cat>
                <c:val>
                  <c:numRef>
                    <c:extLst>
                      <c:ext uri="{02D57815-91ED-43cb-92C2-25804820EDAC}">
                        <c15:formulaRef>
                          <c15:sqref>Durada!$I$27:$I$31</c15:sqref>
                        </c15:formulaRef>
                      </c:ext>
                    </c:extLst>
                    <c:numCache>
                      <c:formatCode>#,##0.0</c:formatCode>
                      <c:ptCount val="5"/>
                      <c:pt idx="1">
                        <c:v>123.5625</c:v>
                      </c:pt>
                      <c:pt idx="3">
                        <c:v>198.875</c:v>
                      </c:pt>
                    </c:numCache>
                  </c:numRef>
                </c:val>
                <c:extLst>
                  <c:ext xmlns:c16="http://schemas.microsoft.com/office/drawing/2014/chart" uri="{C3380CC4-5D6E-409C-BE32-E72D297353CC}">
                    <c16:uniqueId val="{00000001-562D-4C3A-ACC8-EC995AD00B68}"/>
                  </c:ext>
                </c:extLst>
              </c15:ser>
            </c15:filteredBarSeries>
          </c:ext>
        </c:extLst>
      </c:barChart>
      <c:catAx>
        <c:axId val="472384848"/>
        <c:scaling>
          <c:orientation val="minMax"/>
        </c:scaling>
        <c:delete val="0"/>
        <c:axPos val="l"/>
        <c:numFmt formatCode="General" sourceLinked="1"/>
        <c:majorTickMark val="none"/>
        <c:minorTickMark val="none"/>
        <c:tickLblPos val="nextTo"/>
        <c:spPr>
          <a:noFill/>
          <a:ln w="9525" cap="flat" cmpd="sng" algn="ctr">
            <a:noFill/>
            <a:round/>
          </a:ln>
          <a:effectLst/>
        </c:spPr>
        <c:txPr>
          <a:bodyPr rot="-60000000" spcFirstLastPara="1" vertOverflow="ellipsis" vert="horz" wrap="square" anchor="ctr" anchorCtr="1"/>
          <a:lstStyle/>
          <a:p>
            <a:pPr>
              <a:defRPr sz="600" b="1" i="0" u="none" strike="noStrike" kern="1200" baseline="0">
                <a:solidFill>
                  <a:sysClr val="windowText" lastClr="000000"/>
                </a:solidFill>
                <a:latin typeface="+mj-lt"/>
                <a:ea typeface="+mn-ea"/>
                <a:cs typeface="+mn-cs"/>
              </a:defRPr>
            </a:pPr>
            <a:endParaRPr lang="es-ES"/>
          </a:p>
        </c:txPr>
        <c:crossAx val="472382448"/>
        <c:crosses val="autoZero"/>
        <c:auto val="1"/>
        <c:lblAlgn val="ctr"/>
        <c:lblOffset val="100"/>
        <c:noMultiLvlLbl val="0"/>
      </c:catAx>
      <c:valAx>
        <c:axId val="472382448"/>
        <c:scaling>
          <c:orientation val="minMax"/>
        </c:scaling>
        <c:delete val="1"/>
        <c:axPos val="b"/>
        <c:numFmt formatCode="#,##0.0" sourceLinked="1"/>
        <c:majorTickMark val="none"/>
        <c:minorTickMark val="none"/>
        <c:tickLblPos val="nextTo"/>
        <c:crossAx val="472384848"/>
        <c:crosses val="autoZero"/>
        <c:crossBetween val="between"/>
      </c:valAx>
      <c:spPr>
        <a:noFill/>
        <a:ln w="25400">
          <a:noFill/>
        </a:ln>
        <a:effectLst/>
      </c:spPr>
    </c:plotArea>
    <c:legend>
      <c:legendPos val="r"/>
      <c:overlay val="0"/>
      <c:spPr>
        <a:noFill/>
        <a:ln>
          <a:noFill/>
        </a:ln>
        <a:effectLst/>
      </c:spPr>
      <c:txPr>
        <a:bodyPr rot="0" spcFirstLastPara="1" vertOverflow="ellipsis" vert="horz" wrap="square" anchor="ctr" anchorCtr="1"/>
        <a:lstStyle/>
        <a:p>
          <a:pPr>
            <a:defRPr sz="700" b="1" i="0" u="none" strike="noStrike" kern="1200" baseline="0">
              <a:solidFill>
                <a:sysClr val="windowText" lastClr="000000"/>
              </a:solidFill>
              <a:latin typeface="+mj-lt"/>
              <a:ea typeface="+mn-ea"/>
              <a:cs typeface="+mn-cs"/>
            </a:defRPr>
          </a:pPr>
          <a:endParaRPr lang="es-ES"/>
        </a:p>
      </c:txPr>
    </c:legend>
    <c:plotVisOnly val="1"/>
    <c:dispBlanksAs val="gap"/>
    <c:showDLblsOverMax val="0"/>
  </c:chart>
  <c:spPr>
    <a:solidFill>
      <a:schemeClr val="bg1"/>
    </a:solidFill>
    <a:ln w="9525" cap="flat" cmpd="sng" algn="ctr">
      <a:noFill/>
      <a:round/>
    </a:ln>
    <a:effectLst/>
  </c:spPr>
  <c:txPr>
    <a:bodyPr/>
    <a:lstStyle/>
    <a:p>
      <a:pPr>
        <a:defRPr sz="900" b="1">
          <a:solidFill>
            <a:sysClr val="windowText" lastClr="000000"/>
          </a:solidFill>
          <a:latin typeface="+mj-lt"/>
        </a:defRPr>
      </a:pPr>
      <a:endParaRPr lang="es-ES"/>
    </a:p>
  </c:txPr>
  <c:externalData r:id="rId3">
    <c:autoUpdate val="0"/>
  </c:externalData>
</c:chartSpace>
</file>

<file path=word/charts/chart9.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29594809723194765"/>
          <c:y val="3.8461714024877323E-2"/>
          <c:w val="0.66049473398402336"/>
          <c:h val="0.7498599882372563"/>
        </c:manualLayout>
      </c:layout>
      <c:barChart>
        <c:barDir val="bar"/>
        <c:grouping val="clustered"/>
        <c:varyColors val="0"/>
        <c:ser>
          <c:idx val="1"/>
          <c:order val="1"/>
          <c:tx>
            <c:strRef>
              <c:f>Durada!$J$63</c:f>
              <c:strCache>
                <c:ptCount val="1"/>
                <c:pt idx="0">
                  <c:v>meses</c:v>
                </c:pt>
              </c:strCache>
            </c:strRef>
          </c:tx>
          <c:spPr>
            <a:solidFill>
              <a:schemeClr val="accent6">
                <a:lumMod val="75000"/>
              </a:schemeClr>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ysClr val="windowText" lastClr="000000"/>
                    </a:solidFill>
                    <a:latin typeface="+mj-lt"/>
                    <a:ea typeface="+mn-ea"/>
                    <a:cs typeface="+mn-cs"/>
                  </a:defRPr>
                </a:pPr>
                <a:endParaRPr lang="es-E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multiLvlStrRef>
              <c:f>Durada!$G$64:$H$70</c:f>
              <c:multiLvlStrCache>
                <c:ptCount val="6"/>
                <c:lvl>
                  <c:pt idx="1">
                    <c:v>media acotada</c:v>
                  </c:pt>
                  <c:pt idx="3">
                    <c:v>media acotada</c:v>
                  </c:pt>
                  <c:pt idx="5">
                    <c:v>media acotada</c:v>
                  </c:pt>
                </c:lvl>
                <c:lvl>
                  <c:pt idx="1">
                    <c:v>Prearbitral</c:v>
                  </c:pt>
                  <c:pt idx="3">
                    <c:v>Arbitral </c:v>
                  </c:pt>
                  <c:pt idx="5">
                    <c:v>Total</c:v>
                  </c:pt>
                </c:lvl>
              </c:multiLvlStrCache>
            </c:multiLvlStrRef>
          </c:cat>
          <c:val>
            <c:numRef>
              <c:f>Durada!$J$64:$J$70</c:f>
              <c:numCache>
                <c:formatCode>0.0</c:formatCode>
                <c:ptCount val="7"/>
                <c:pt idx="1">
                  <c:v>4.4000000000000004</c:v>
                </c:pt>
                <c:pt idx="3">
                  <c:v>8.5208333333333339</c:v>
                </c:pt>
                <c:pt idx="5">
                  <c:v>12.987500000000006</c:v>
                </c:pt>
              </c:numCache>
            </c:numRef>
          </c:val>
          <c:extLst>
            <c:ext xmlns:c16="http://schemas.microsoft.com/office/drawing/2014/chart" uri="{C3380CC4-5D6E-409C-BE32-E72D297353CC}">
              <c16:uniqueId val="{00000000-B8F7-4E75-AC4C-600F252FC240}"/>
            </c:ext>
          </c:extLst>
        </c:ser>
        <c:dLbls>
          <c:dLblPos val="outEnd"/>
          <c:showLegendKey val="0"/>
          <c:showVal val="1"/>
          <c:showCatName val="0"/>
          <c:showSerName val="0"/>
          <c:showPercent val="0"/>
          <c:showBubbleSize val="0"/>
        </c:dLbls>
        <c:gapWidth val="182"/>
        <c:axId val="2077305328"/>
        <c:axId val="2077305808"/>
        <c:extLst>
          <c:ext xmlns:c15="http://schemas.microsoft.com/office/drawing/2012/chart" uri="{02D57815-91ED-43cb-92C2-25804820EDAC}">
            <c15:filteredBarSeries>
              <c15:ser>
                <c:idx val="0"/>
                <c:order val="0"/>
                <c:tx>
                  <c:strRef>
                    <c:extLst>
                      <c:ext uri="{02D57815-91ED-43cb-92C2-25804820EDAC}">
                        <c15:formulaRef>
                          <c15:sqref>Durada!$I$63</c15:sqref>
                        </c15:formulaRef>
                      </c:ext>
                    </c:extLst>
                    <c:strCache>
                      <c:ptCount val="1"/>
                      <c:pt idx="0">
                        <c:v>dies</c:v>
                      </c:pt>
                    </c:strCache>
                  </c:strRef>
                </c:tx>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s-ES"/>
                    </a:p>
                  </c:txPr>
                  <c:dLblPos val="outEnd"/>
                  <c:showLegendKey val="0"/>
                  <c:showVal val="1"/>
                  <c:showCatName val="0"/>
                  <c:showSerName val="0"/>
                  <c:showPercent val="0"/>
                  <c:showBubbleSize val="0"/>
                  <c:showLeaderLines val="0"/>
                  <c:extLst>
                    <c:ext uri="{CE6537A1-D6FC-4f65-9D91-7224C49458BB}">
                      <c15:showLeaderLines val="1"/>
                      <c15:leaderLines>
                        <c:spPr>
                          <a:ln w="9525" cap="flat" cmpd="sng" algn="ctr">
                            <a:solidFill>
                              <a:schemeClr val="tx1">
                                <a:lumMod val="35000"/>
                                <a:lumOff val="65000"/>
                              </a:schemeClr>
                            </a:solidFill>
                            <a:round/>
                          </a:ln>
                          <a:effectLst/>
                        </c:spPr>
                      </c15:leaderLines>
                    </c:ext>
                  </c:extLst>
                </c:dLbls>
                <c:cat>
                  <c:multiLvlStrRef>
                    <c:extLst>
                      <c:ext uri="{02D57815-91ED-43cb-92C2-25804820EDAC}">
                        <c15:formulaRef>
                          <c15:sqref>Durada!$G$64:$H$70</c15:sqref>
                        </c15:formulaRef>
                      </c:ext>
                    </c:extLst>
                    <c:multiLvlStrCache>
                      <c:ptCount val="6"/>
                      <c:lvl>
                        <c:pt idx="1">
                          <c:v>media acotada</c:v>
                        </c:pt>
                        <c:pt idx="3">
                          <c:v>media acotada</c:v>
                        </c:pt>
                        <c:pt idx="5">
                          <c:v>media acotada</c:v>
                        </c:pt>
                      </c:lvl>
                      <c:lvl>
                        <c:pt idx="1">
                          <c:v>Prearbitral</c:v>
                        </c:pt>
                        <c:pt idx="3">
                          <c:v>Arbitral </c:v>
                        </c:pt>
                        <c:pt idx="5">
                          <c:v>Total</c:v>
                        </c:pt>
                      </c:lvl>
                    </c:multiLvlStrCache>
                  </c:multiLvlStrRef>
                </c:cat>
                <c:val>
                  <c:numRef>
                    <c:extLst>
                      <c:ext uri="{02D57815-91ED-43cb-92C2-25804820EDAC}">
                        <c15:formulaRef>
                          <c15:sqref>Durada!$I$64:$I$70</c15:sqref>
                        </c15:formulaRef>
                      </c:ext>
                    </c:extLst>
                    <c:numCache>
                      <c:formatCode>0.0</c:formatCode>
                      <c:ptCount val="7"/>
                      <c:pt idx="1">
                        <c:v>132</c:v>
                      </c:pt>
                      <c:pt idx="3">
                        <c:v>255.625</c:v>
                      </c:pt>
                      <c:pt idx="5">
                        <c:v>389.625</c:v>
                      </c:pt>
                    </c:numCache>
                  </c:numRef>
                </c:val>
                <c:extLst>
                  <c:ext xmlns:c16="http://schemas.microsoft.com/office/drawing/2014/chart" uri="{C3380CC4-5D6E-409C-BE32-E72D297353CC}">
                    <c16:uniqueId val="{00000001-B8F7-4E75-AC4C-600F252FC240}"/>
                  </c:ext>
                </c:extLst>
              </c15:ser>
            </c15:filteredBarSeries>
          </c:ext>
        </c:extLst>
      </c:barChart>
      <c:catAx>
        <c:axId val="2077305328"/>
        <c:scaling>
          <c:orientation val="minMax"/>
        </c:scaling>
        <c:delete val="0"/>
        <c:axPos val="l"/>
        <c:numFmt formatCode="General" sourceLinked="1"/>
        <c:majorTickMark val="none"/>
        <c:minorTickMark val="none"/>
        <c:tickLblPos val="nextTo"/>
        <c:spPr>
          <a:noFill/>
          <a:ln w="9525" cap="flat" cmpd="sng" algn="ctr">
            <a:noFill/>
            <a:round/>
          </a:ln>
          <a:effectLst/>
        </c:spPr>
        <c:txPr>
          <a:bodyPr rot="-60000000" spcFirstLastPara="1" vertOverflow="ellipsis" vert="horz" wrap="square" anchor="ctr" anchorCtr="1"/>
          <a:lstStyle/>
          <a:p>
            <a:pPr>
              <a:defRPr sz="700" b="1" i="0" u="none" strike="noStrike" kern="1200" baseline="0">
                <a:solidFill>
                  <a:sysClr val="windowText" lastClr="000000"/>
                </a:solidFill>
                <a:latin typeface="+mj-lt"/>
                <a:ea typeface="+mn-ea"/>
                <a:cs typeface="+mn-cs"/>
              </a:defRPr>
            </a:pPr>
            <a:endParaRPr lang="es-ES"/>
          </a:p>
        </c:txPr>
        <c:crossAx val="2077305808"/>
        <c:crosses val="autoZero"/>
        <c:auto val="1"/>
        <c:lblAlgn val="ctr"/>
        <c:lblOffset val="100"/>
        <c:noMultiLvlLbl val="0"/>
      </c:catAx>
      <c:valAx>
        <c:axId val="2077305808"/>
        <c:scaling>
          <c:orientation val="minMax"/>
        </c:scaling>
        <c:delete val="1"/>
        <c:axPos val="b"/>
        <c:numFmt formatCode="0.0" sourceLinked="1"/>
        <c:majorTickMark val="none"/>
        <c:minorTickMark val="none"/>
        <c:tickLblPos val="nextTo"/>
        <c:crossAx val="2077305328"/>
        <c:crosses val="autoZero"/>
        <c:crossBetween val="between"/>
      </c:valAx>
      <c:spPr>
        <a:noFill/>
        <a:ln>
          <a:noFill/>
        </a:ln>
        <a:effectLst/>
      </c:spPr>
    </c:plotArea>
    <c:legend>
      <c:legendPos val="r"/>
      <c:overlay val="0"/>
      <c:spPr>
        <a:noFill/>
        <a:ln>
          <a:noFill/>
        </a:ln>
        <a:effectLst/>
      </c:spPr>
      <c:txPr>
        <a:bodyPr rot="0" spcFirstLastPara="1" vertOverflow="ellipsis" vert="horz" wrap="square" anchor="ctr" anchorCtr="1"/>
        <a:lstStyle/>
        <a:p>
          <a:pPr>
            <a:defRPr sz="700" b="1" i="0" u="none" strike="noStrike" kern="1200" baseline="0">
              <a:solidFill>
                <a:sysClr val="windowText" lastClr="000000"/>
              </a:solidFill>
              <a:latin typeface="+mj-lt"/>
              <a:ea typeface="+mn-ea"/>
              <a:cs typeface="+mn-cs"/>
            </a:defRPr>
          </a:pPr>
          <a:endParaRPr lang="es-ES"/>
        </a:p>
      </c:txPr>
    </c:legend>
    <c:plotVisOnly val="1"/>
    <c:dispBlanksAs val="gap"/>
    <c:showDLblsOverMax val="0"/>
  </c:chart>
  <c:spPr>
    <a:solidFill>
      <a:schemeClr val="bg1"/>
    </a:solidFill>
    <a:ln w="9525" cap="flat" cmpd="sng" algn="ctr">
      <a:noFill/>
      <a:round/>
    </a:ln>
    <a:effectLst/>
  </c:spPr>
  <c:txPr>
    <a:bodyPr/>
    <a:lstStyle/>
    <a:p>
      <a:pPr>
        <a:defRPr/>
      </a:pPr>
      <a:endParaRPr lang="es-ES"/>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0.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5.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6.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7.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8.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9.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0.xml><?xml version="1.0" encoding="utf-8"?>
<cs:chartStyle xmlns:cs="http://schemas.microsoft.com/office/drawing/2012/chartStyle" xmlns:a="http://schemas.openxmlformats.org/drawingml/2006/main" id="21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1.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4.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5.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6.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7.xml><?xml version="1.0" encoding="utf-8"?>
<cs:chartStyle xmlns:cs="http://schemas.microsoft.com/office/drawing/2012/chartStyle" xmlns:a="http://schemas.openxmlformats.org/drawingml/2006/main" id="381">
  <cs:axisTitle>
    <cs:lnRef idx="0"/>
    <cs:fillRef idx="0"/>
    <cs:effectRef idx="0"/>
    <cs:fontRef idx="minor">
      <a:schemeClr val="tx1">
        <a:lumMod val="65000"/>
        <a:lumOff val="35000"/>
      </a:schemeClr>
    </cs:fontRef>
    <cs:defRPr sz="9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cs:chartArea>
  <cs:dataLabel>
    <cs:lnRef idx="0"/>
    <cs:fillRef idx="0"/>
    <cs:effectRef idx="0"/>
    <cs:fontRef idx="minor">
      <a:schemeClr val="lt1"/>
    </cs:fontRef>
    <cs:defRPr sz="9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tx1"/>
    </cs:fontRef>
    <cs:spPr>
      <a:solidFill>
        <a:schemeClr val="phClr"/>
      </a:solidFill>
      <a:ln w="19050">
        <a:solidFill>
          <a:schemeClr val="lt1"/>
        </a:solidFill>
      </a:ln>
    </cs:spPr>
  </cs:dataPoint>
  <cs:dataPoint3D>
    <cs:lnRef idx="0"/>
    <cs:fillRef idx="0">
      <cs:styleClr val="auto"/>
    </cs:fillRef>
    <cs:effectRef idx="0"/>
    <cs:fontRef idx="minor">
      <a:schemeClr val="tx1"/>
    </cs:fontRef>
    <cs:spPr>
      <a:solidFill>
        <a:schemeClr val="phClr"/>
      </a:solidFill>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fillRef idx="0">
      <cs:styleClr val="auto"/>
    </cs:fillRef>
    <cs:effectRef idx="0"/>
    <cs:fontRef idx="minor">
      <a:schemeClr val="tx1"/>
    </cs:fontRef>
    <cs:spPr>
      <a:solidFill>
        <a:schemeClr val="phClr"/>
      </a:solidFill>
      <a:ln w="9525">
        <a:solidFill>
          <a:schemeClr val="lt1"/>
        </a:solidFill>
      </a:ln>
    </cs:spPr>
  </cs:dataPointMarker>
  <cs:dataPointMarkerLayout symbol="circle" size="5"/>
  <cs:dataPointWireframe>
    <cs:lnRef idx="0">
      <cs:styleClr val="auto"/>
    </cs:lnRef>
    <cs:fillRef idx="0"/>
    <cs:effectRef idx="0"/>
    <cs:fontRef idx="minor">
      <a:schemeClr val="tx1"/>
    </cs:fontRef>
    <cs:spPr>
      <a:ln w="28575" cap="rnd">
        <a:solidFill>
          <a:schemeClr val="phClr"/>
        </a:solidFill>
        <a:round/>
      </a:ln>
    </cs:spPr>
  </cs:dataPointWireframe>
  <cs:dataTable>
    <cs:lnRef idx="0"/>
    <cs:fillRef idx="0"/>
    <cs:effectRef idx="0"/>
    <cs:fontRef idx="minor">
      <a:schemeClr val="tx1">
        <a:lumMod val="65000"/>
        <a:lumOff val="35000"/>
      </a:schemeClr>
    </cs:fontRef>
    <cs:spPr>
      <a:ln w="9525">
        <a:solidFill>
          <a:schemeClr val="tx1">
            <a:lumMod val="15000"/>
            <a:lumOff val="85000"/>
          </a:schemeClr>
        </a:solidFill>
      </a:ln>
    </cs:spPr>
    <cs:defRPr sz="9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15000"/>
            <a:lumOff val="8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cs:seriesAxis>
  <cs:seriesLine>
    <cs:lnRef idx="0"/>
    <cs:fillRef idx="0"/>
    <cs:effectRef idx="0"/>
    <cs:fontRef idx="minor">
      <a:schemeClr val="tx1"/>
    </cs:fontRef>
    <cs:spPr>
      <a:ln w="9525" cap="flat">
        <a:solidFill>
          <a:srgbClr val="D9D9D9"/>
        </a:solidFill>
        <a:round/>
      </a:ln>
    </cs:spPr>
  </cs:seriesLine>
  <cs:title>
    <cs:lnRef idx="0"/>
    <cs:fillRef idx="0"/>
    <cs:effectRef idx="0"/>
    <cs:fontRef idx="minor">
      <a:schemeClr val="tx1">
        <a:lumMod val="65000"/>
        <a:lumOff val="35000"/>
      </a:schemeClr>
    </cs:fontRef>
    <cs:defRPr sz="1400"/>
  </cs:title>
  <cs:trendline>
    <cs:lnRef idx="0">
      <cs:styleClr val="auto"/>
    </cs:lnRef>
    <cs:fillRef idx="0"/>
    <cs:effectRef idx="0"/>
    <cs:fontRef idx="minor">
      <a:schemeClr val="tx1"/>
    </cs:fontRef>
    <cs:spPr>
      <a:ln w="19050" cap="rnd">
        <a:solidFill>
          <a:schemeClr val="phClr"/>
        </a:solidFill>
        <a:prstDash val="sysDash"/>
      </a:ln>
    </cs:spPr>
  </cs:trendline>
  <cs:trendlineLabel>
    <cs:lnRef idx="0"/>
    <cs:fillRef idx="0"/>
    <cs:effectRef idx="0"/>
    <cs:fontRef idx="minor">
      <a:schemeClr val="tx1">
        <a:lumMod val="65000"/>
        <a:lumOff val="35000"/>
      </a:schemeClr>
    </cs:fontRef>
    <cs:defRPr sz="9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cs:valueAxis>
  <cs:wall>
    <cs:lnRef idx="0"/>
    <cs:fillRef idx="0"/>
    <cs:effectRef idx="0"/>
    <cs:fontRef idx="minor">
      <a:schemeClr val="tx1"/>
    </cs:fontRef>
  </cs:wall>
</cs:chartStyle>
</file>

<file path=word/charts/style8.xml><?xml version="1.0" encoding="utf-8"?>
<cs:chartStyle xmlns:cs="http://schemas.microsoft.com/office/drawing/2012/chartStyle" xmlns:a="http://schemas.openxmlformats.org/drawingml/2006/main" id="21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9.xml><?xml version="1.0" encoding="utf-8"?>
<cs:chartStyle xmlns:cs="http://schemas.microsoft.com/office/drawing/2012/chartStyle" xmlns:a="http://schemas.openxmlformats.org/drawingml/2006/main" id="21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drawings/drawing1.xml><?xml version="1.0" encoding="utf-8"?>
<c:userShapes xmlns:c="http://schemas.openxmlformats.org/drawingml/2006/chart">
  <cdr:relSizeAnchor xmlns:cdr="http://schemas.openxmlformats.org/drawingml/2006/chartDrawing">
    <cdr:from>
      <cdr:x>0.36702</cdr:x>
      <cdr:y>0.41938</cdr:y>
    </cdr:from>
    <cdr:to>
      <cdr:x>0.5966</cdr:x>
      <cdr:y>0.5532</cdr:y>
    </cdr:to>
    <cdr:sp macro="" textlink="">
      <cdr:nvSpPr>
        <cdr:cNvPr id="2" name="CuadroTexto 1">
          <a:extLst xmlns:a="http://schemas.openxmlformats.org/drawingml/2006/main">
            <a:ext uri="{FF2B5EF4-FFF2-40B4-BE49-F238E27FC236}">
              <a16:creationId xmlns:a16="http://schemas.microsoft.com/office/drawing/2014/main" id="{A4F6B887-B6AA-491B-BF13-D16641741A59}"/>
            </a:ext>
          </a:extLst>
        </cdr:cNvPr>
        <cdr:cNvSpPr txBox="1"/>
      </cdr:nvSpPr>
      <cdr:spPr>
        <a:xfrm xmlns:a="http://schemas.openxmlformats.org/drawingml/2006/main">
          <a:off x="1354083" y="876139"/>
          <a:ext cx="847001" cy="279570"/>
        </a:xfrm>
        <a:prstGeom xmlns:a="http://schemas.openxmlformats.org/drawingml/2006/main" prst="rect">
          <a:avLst/>
        </a:prstGeom>
      </cdr:spPr>
      <cdr:txBody>
        <a:bodyPr xmlns:a="http://schemas.openxmlformats.org/drawingml/2006/main" vertOverflow="clip" wrap="none" rtlCol="0"/>
        <a:lstStyle xmlns:a="http://schemas.openxmlformats.org/drawingml/2006/main"/>
        <a:p xmlns:a="http://schemas.openxmlformats.org/drawingml/2006/main">
          <a:pPr algn="ctr"/>
          <a:r>
            <a:rPr lang="es-ES" sz="1200" b="1" kern="1200">
              <a:latin typeface="+mj-lt"/>
            </a:rPr>
            <a:t>MATERIAS</a:t>
          </a:r>
        </a:p>
      </cdr:txBody>
    </cdr:sp>
  </cdr:relSizeAnchor>
</c:userShapes>
</file>

<file path=word/drawings/drawing2.xml><?xml version="1.0" encoding="utf-8"?>
<c:userShapes xmlns:c="http://schemas.openxmlformats.org/drawingml/2006/chart">
  <cdr:relSizeAnchor xmlns:cdr="http://schemas.openxmlformats.org/drawingml/2006/chartDrawing">
    <cdr:from>
      <cdr:x>0.39021</cdr:x>
      <cdr:y>0.41204</cdr:y>
    </cdr:from>
    <cdr:to>
      <cdr:x>0.58069</cdr:x>
      <cdr:y>0.74537</cdr:y>
    </cdr:to>
    <cdr:sp macro="" textlink="">
      <cdr:nvSpPr>
        <cdr:cNvPr id="3" name="CuadroTexto 2">
          <a:extLst xmlns:a="http://schemas.openxmlformats.org/drawingml/2006/main">
            <a:ext uri="{FF2B5EF4-FFF2-40B4-BE49-F238E27FC236}">
              <a16:creationId xmlns:a16="http://schemas.microsoft.com/office/drawing/2014/main" id="{4584DA73-E413-E6BF-F89C-CFB2524B26A4}"/>
            </a:ext>
          </a:extLst>
        </cdr:cNvPr>
        <cdr:cNvSpPr txBox="1"/>
      </cdr:nvSpPr>
      <cdr:spPr>
        <a:xfrm xmlns:a="http://schemas.openxmlformats.org/drawingml/2006/main">
          <a:off x="1873250" y="1130300"/>
          <a:ext cx="914400" cy="914400"/>
        </a:xfrm>
        <a:prstGeom xmlns:a="http://schemas.openxmlformats.org/drawingml/2006/main" prst="rect">
          <a:avLst/>
        </a:prstGeom>
      </cdr:spPr>
      <cdr:txBody>
        <a:bodyPr xmlns:a="http://schemas.openxmlformats.org/drawingml/2006/main" vertOverflow="clip" wrap="none" rtlCol="0"/>
        <a:lstStyle xmlns:a="http://schemas.openxmlformats.org/drawingml/2006/main"/>
        <a:p xmlns:a="http://schemas.openxmlformats.org/drawingml/2006/main">
          <a:endParaRPr lang="es-ES" sz="1100" kern="1200"/>
        </a:p>
      </cdr:txBody>
    </cdr:sp>
  </cdr:relSizeAnchor>
  <cdr:relSizeAnchor xmlns:cdr="http://schemas.openxmlformats.org/drawingml/2006/chartDrawing">
    <cdr:from>
      <cdr:x>0.32083</cdr:x>
      <cdr:y>0.40281</cdr:y>
    </cdr:from>
    <cdr:to>
      <cdr:x>0.63333</cdr:x>
      <cdr:y>0.56112</cdr:y>
    </cdr:to>
    <cdr:sp macro="" textlink="">
      <cdr:nvSpPr>
        <cdr:cNvPr id="2" name="Cuadro de texto 1"/>
        <cdr:cNvSpPr txBox="1"/>
      </cdr:nvSpPr>
      <cdr:spPr>
        <a:xfrm xmlns:a="http://schemas.openxmlformats.org/drawingml/2006/main">
          <a:off x="1466850" y="1276350"/>
          <a:ext cx="1428750" cy="501650"/>
        </a:xfrm>
        <a:prstGeom xmlns:a="http://schemas.openxmlformats.org/drawingml/2006/main" prst="rect">
          <a:avLst/>
        </a:prstGeom>
      </cdr:spPr>
      <cdr:txBody>
        <a:bodyPr xmlns:a="http://schemas.openxmlformats.org/drawingml/2006/main" vertOverflow="clip" wrap="none" rtlCol="0"/>
        <a:lstStyle xmlns:a="http://schemas.openxmlformats.org/drawingml/2006/main"/>
        <a:p xmlns:a="http://schemas.openxmlformats.org/drawingml/2006/main">
          <a:r>
            <a:rPr lang="es-ES" sz="1100" b="1" kern="1200">
              <a:latin typeface="+mj-lt"/>
            </a:rPr>
            <a:t>      </a:t>
          </a:r>
        </a:p>
        <a:p xmlns:a="http://schemas.openxmlformats.org/drawingml/2006/main">
          <a:r>
            <a:rPr lang="es-ES" sz="1100" b="1" kern="1200">
              <a:latin typeface="+mj-lt"/>
            </a:rPr>
            <a:t>   </a:t>
          </a:r>
          <a:r>
            <a:rPr lang="es-ES" sz="1400" b="1" kern="1200">
              <a:latin typeface="+mj-lt"/>
            </a:rPr>
            <a:t>TIPUS  ARBITRATGE</a:t>
          </a:r>
        </a:p>
      </cdr:txBody>
    </cdr:sp>
  </cdr:relSizeAnchor>
  <cdr:relSizeAnchor xmlns:cdr="http://schemas.openxmlformats.org/drawingml/2006/chartDrawing">
    <cdr:from>
      <cdr:x>0.44923</cdr:x>
      <cdr:y>0.44268</cdr:y>
    </cdr:from>
    <cdr:to>
      <cdr:x>0.69707</cdr:x>
      <cdr:y>0.90127</cdr:y>
    </cdr:to>
    <cdr:sp macro="" textlink="">
      <cdr:nvSpPr>
        <cdr:cNvPr id="4" name="Cuadro de texto 3"/>
        <cdr:cNvSpPr txBox="1"/>
      </cdr:nvSpPr>
      <cdr:spPr>
        <a:xfrm xmlns:a="http://schemas.openxmlformats.org/drawingml/2006/main">
          <a:off x="1657350" y="882650"/>
          <a:ext cx="914400" cy="914400"/>
        </a:xfrm>
        <a:prstGeom xmlns:a="http://schemas.openxmlformats.org/drawingml/2006/main" prst="rect">
          <a:avLst/>
        </a:prstGeom>
      </cdr:spPr>
      <cdr:txBody>
        <a:bodyPr xmlns:a="http://schemas.openxmlformats.org/drawingml/2006/main" vertOverflow="clip" wrap="none" rtlCol="0"/>
        <a:lstStyle xmlns:a="http://schemas.openxmlformats.org/drawingml/2006/main"/>
        <a:p xmlns:a="http://schemas.openxmlformats.org/drawingml/2006/main">
          <a:endParaRPr lang="es-ES" sz="1100" kern="1200"/>
        </a:p>
      </cdr:txBody>
    </cdr:sp>
  </cdr:relSizeAnchor>
  <cdr:relSizeAnchor xmlns:cdr="http://schemas.openxmlformats.org/drawingml/2006/chartDrawing">
    <cdr:from>
      <cdr:x>0.39721</cdr:x>
      <cdr:y>0.37797</cdr:y>
    </cdr:from>
    <cdr:to>
      <cdr:x>0.68419</cdr:x>
      <cdr:y>0.58097</cdr:y>
    </cdr:to>
    <cdr:sp macro="" textlink="">
      <cdr:nvSpPr>
        <cdr:cNvPr id="5" name="Cuadro de texto 4"/>
        <cdr:cNvSpPr txBox="1"/>
      </cdr:nvSpPr>
      <cdr:spPr>
        <a:xfrm xmlns:a="http://schemas.openxmlformats.org/drawingml/2006/main">
          <a:off x="1356980" y="889957"/>
          <a:ext cx="980410" cy="477985"/>
        </a:xfrm>
        <a:prstGeom xmlns:a="http://schemas.openxmlformats.org/drawingml/2006/main" prst="rect">
          <a:avLst/>
        </a:prstGeom>
      </cdr:spPr>
      <cdr:txBody>
        <a:bodyPr xmlns:a="http://schemas.openxmlformats.org/drawingml/2006/main" vertOverflow="clip" wrap="none" rtlCol="0"/>
        <a:lstStyle xmlns:a="http://schemas.openxmlformats.org/drawingml/2006/main"/>
        <a:p xmlns:a="http://schemas.openxmlformats.org/drawingml/2006/main">
          <a:pPr algn="ctr"/>
          <a:r>
            <a:rPr lang="es-ES" sz="1100" b="1" kern="1200">
              <a:latin typeface="+mj-lt"/>
            </a:rPr>
            <a:t>TIPOS</a:t>
          </a:r>
          <a:r>
            <a:rPr lang="es-ES" sz="1100" b="1" kern="1200" baseline="0">
              <a:latin typeface="+mj-lt"/>
            </a:rPr>
            <a:t> DE</a:t>
          </a:r>
          <a:r>
            <a:rPr lang="es-ES" sz="1100" b="1" kern="1200">
              <a:latin typeface="+mj-lt"/>
            </a:rPr>
            <a:t> </a:t>
          </a:r>
        </a:p>
        <a:p xmlns:a="http://schemas.openxmlformats.org/drawingml/2006/main">
          <a:pPr algn="ctr"/>
          <a:r>
            <a:rPr lang="es-ES" sz="1100" b="1" kern="1200">
              <a:latin typeface="+mj-lt"/>
            </a:rPr>
            <a:t>ARBITRAJE</a:t>
          </a:r>
        </a:p>
      </cdr:txBody>
    </cdr:sp>
  </cdr:relSizeAnchor>
</c:userShapes>
</file>

<file path=word/drawings/drawing3.xml><?xml version="1.0" encoding="utf-8"?>
<c:userShapes xmlns:c="http://schemas.openxmlformats.org/drawingml/2006/chart">
  <cdr:relSizeAnchor xmlns:cdr="http://schemas.openxmlformats.org/drawingml/2006/chartDrawing">
    <cdr:from>
      <cdr:x>0.34232</cdr:x>
      <cdr:y>0.44271</cdr:y>
    </cdr:from>
    <cdr:to>
      <cdr:x>0.63123</cdr:x>
      <cdr:y>0.66138</cdr:y>
    </cdr:to>
    <cdr:sp macro="" textlink="">
      <cdr:nvSpPr>
        <cdr:cNvPr id="2" name="CuadroTexto 1">
          <a:extLst xmlns:a="http://schemas.openxmlformats.org/drawingml/2006/main">
            <a:ext uri="{FF2B5EF4-FFF2-40B4-BE49-F238E27FC236}">
              <a16:creationId xmlns:a16="http://schemas.microsoft.com/office/drawing/2014/main" id="{A93845B2-9325-F444-B7C1-6274B383D928}"/>
            </a:ext>
          </a:extLst>
        </cdr:cNvPr>
        <cdr:cNvSpPr txBox="1"/>
      </cdr:nvSpPr>
      <cdr:spPr>
        <a:xfrm xmlns:a="http://schemas.openxmlformats.org/drawingml/2006/main">
          <a:off x="1257300" y="1039023"/>
          <a:ext cx="1061107" cy="513209"/>
        </a:xfrm>
        <a:prstGeom xmlns:a="http://schemas.openxmlformats.org/drawingml/2006/main" prst="rect">
          <a:avLst/>
        </a:prstGeom>
      </cdr:spPr>
      <cdr:txBody>
        <a:bodyPr xmlns:a="http://schemas.openxmlformats.org/drawingml/2006/main" vertOverflow="clip" wrap="none" rtlCol="0"/>
        <a:lstStyle xmlns:a="http://schemas.openxmlformats.org/drawingml/2006/main"/>
        <a:p xmlns:a="http://schemas.openxmlformats.org/drawingml/2006/main">
          <a:pPr algn="ctr"/>
          <a:r>
            <a:rPr lang="es-ES" sz="1100" b="1" kern="1200">
              <a:solidFill>
                <a:sysClr val="windowText" lastClr="000000"/>
              </a:solidFill>
              <a:latin typeface="+mj-lt"/>
            </a:rPr>
            <a:t>PARIDAD</a:t>
          </a:r>
        </a:p>
        <a:p xmlns:a="http://schemas.openxmlformats.org/drawingml/2006/main">
          <a:pPr algn="ctr"/>
          <a:r>
            <a:rPr lang="es-ES" sz="1100" b="1" kern="1200">
              <a:solidFill>
                <a:sysClr val="windowText" lastClr="000000"/>
              </a:solidFill>
              <a:latin typeface="+mj-lt"/>
            </a:rPr>
            <a:t>GÉNERO </a:t>
          </a:r>
        </a:p>
      </cdr:txBody>
    </cdr:sp>
  </cdr:relSizeAnchor>
</c:userShapes>
</file>

<file path=word/drawings/drawing4.xml><?xml version="1.0" encoding="utf-8"?>
<c:userShapes xmlns:c="http://schemas.openxmlformats.org/drawingml/2006/chart">
  <cdr:relSizeAnchor xmlns:cdr="http://schemas.openxmlformats.org/drawingml/2006/chartDrawing">
    <cdr:from>
      <cdr:x>0.38153</cdr:x>
      <cdr:y>0.40672</cdr:y>
    </cdr:from>
    <cdr:to>
      <cdr:x>0.66051</cdr:x>
      <cdr:y>0.6194</cdr:y>
    </cdr:to>
    <cdr:sp macro="" textlink="">
      <cdr:nvSpPr>
        <cdr:cNvPr id="2" name="Cuadro de texto 1"/>
        <cdr:cNvSpPr txBox="1"/>
      </cdr:nvSpPr>
      <cdr:spPr>
        <a:xfrm xmlns:a="http://schemas.openxmlformats.org/drawingml/2006/main">
          <a:off x="1417289" y="1038226"/>
          <a:ext cx="1036341" cy="542924"/>
        </a:xfrm>
        <a:prstGeom xmlns:a="http://schemas.openxmlformats.org/drawingml/2006/main" prst="rect">
          <a:avLst/>
        </a:prstGeom>
      </cdr:spPr>
      <cdr:txBody>
        <a:bodyPr xmlns:a="http://schemas.openxmlformats.org/drawingml/2006/main" vertOverflow="clip" wrap="none" rtlCol="0"/>
        <a:lstStyle xmlns:a="http://schemas.openxmlformats.org/drawingml/2006/main"/>
        <a:p xmlns:a="http://schemas.openxmlformats.org/drawingml/2006/main">
          <a:r>
            <a:rPr lang="es-ES" sz="1100" b="1" kern="1200">
              <a:latin typeface="+mj-lt"/>
            </a:rPr>
            <a:t>      </a:t>
          </a:r>
        </a:p>
        <a:p xmlns:a="http://schemas.openxmlformats.org/drawingml/2006/main">
          <a:r>
            <a:rPr lang="es-ES" sz="1100" b="1" kern="1200">
              <a:latin typeface="+mj-lt"/>
            </a:rPr>
            <a:t>       IDIOMA</a:t>
          </a:r>
        </a:p>
      </cdr:txBody>
    </cdr:sp>
  </cdr:relSizeAnchor>
</c:userShapes>
</file>

<file path=word/drawings/drawing5.xml><?xml version="1.0" encoding="utf-8"?>
<c:userShapes xmlns:c="http://schemas.openxmlformats.org/drawingml/2006/chart">
  <cdr:relSizeAnchor xmlns:cdr="http://schemas.openxmlformats.org/drawingml/2006/chartDrawing">
    <cdr:from>
      <cdr:x>0.36478</cdr:x>
      <cdr:y>0.41136</cdr:y>
    </cdr:from>
    <cdr:to>
      <cdr:x>0.64623</cdr:x>
      <cdr:y>0.69773</cdr:y>
    </cdr:to>
    <cdr:sp macro="" textlink="">
      <cdr:nvSpPr>
        <cdr:cNvPr id="2" name="CuadroTexto 1">
          <a:extLst xmlns:a="http://schemas.openxmlformats.org/drawingml/2006/main">
            <a:ext uri="{FF2B5EF4-FFF2-40B4-BE49-F238E27FC236}">
              <a16:creationId xmlns:a16="http://schemas.microsoft.com/office/drawing/2014/main" id="{224C19C7-766E-35B3-12EB-F935CE511921}"/>
            </a:ext>
          </a:extLst>
        </cdr:cNvPr>
        <cdr:cNvSpPr txBox="1"/>
      </cdr:nvSpPr>
      <cdr:spPr>
        <a:xfrm xmlns:a="http://schemas.openxmlformats.org/drawingml/2006/main">
          <a:off x="2209800" y="1724026"/>
          <a:ext cx="1704975" cy="1200150"/>
        </a:xfrm>
        <a:prstGeom xmlns:a="http://schemas.openxmlformats.org/drawingml/2006/main" prst="rect">
          <a:avLst/>
        </a:prstGeom>
      </cdr:spPr>
      <cdr:txBody>
        <a:bodyPr xmlns:a="http://schemas.openxmlformats.org/drawingml/2006/main" vertOverflow="clip" wrap="none" rtlCol="0"/>
        <a:lstStyle xmlns:a="http://schemas.openxmlformats.org/drawingml/2006/main"/>
        <a:p xmlns:a="http://schemas.openxmlformats.org/drawingml/2006/main">
          <a:endParaRPr lang="es-ES" sz="1100" kern="1200"/>
        </a:p>
      </cdr:txBody>
    </cdr:sp>
  </cdr:relSizeAnchor>
  <cdr:relSizeAnchor xmlns:cdr="http://schemas.openxmlformats.org/drawingml/2006/chartDrawing">
    <cdr:from>
      <cdr:x>0.29977</cdr:x>
      <cdr:y>0.37056</cdr:y>
    </cdr:from>
    <cdr:to>
      <cdr:x>0.65568</cdr:x>
      <cdr:y>0.5972</cdr:y>
    </cdr:to>
    <cdr:sp macro="" textlink="">
      <cdr:nvSpPr>
        <cdr:cNvPr id="3" name="CuadroTexto 2">
          <a:extLst xmlns:a="http://schemas.openxmlformats.org/drawingml/2006/main">
            <a:ext uri="{FF2B5EF4-FFF2-40B4-BE49-F238E27FC236}">
              <a16:creationId xmlns:a16="http://schemas.microsoft.com/office/drawing/2014/main" id="{425209BB-648A-DCCA-29E7-1488F28371E1}"/>
            </a:ext>
          </a:extLst>
        </cdr:cNvPr>
        <cdr:cNvSpPr txBox="1"/>
      </cdr:nvSpPr>
      <cdr:spPr>
        <a:xfrm xmlns:a="http://schemas.openxmlformats.org/drawingml/2006/main">
          <a:off x="1062188" y="1018877"/>
          <a:ext cx="1261096" cy="623158"/>
        </a:xfrm>
        <a:prstGeom xmlns:a="http://schemas.openxmlformats.org/drawingml/2006/main" prst="rect">
          <a:avLst/>
        </a:prstGeom>
      </cdr:spPr>
      <cdr:txBody>
        <a:bodyPr xmlns:a="http://schemas.openxmlformats.org/drawingml/2006/main" vertOverflow="clip" wrap="none" rtlCol="0"/>
        <a:lstStyle xmlns:a="http://schemas.openxmlformats.org/drawingml/2006/main"/>
        <a:p xmlns:a="http://schemas.openxmlformats.org/drawingml/2006/main">
          <a:pPr algn="ctr"/>
          <a:r>
            <a:rPr lang="es-ES" sz="1100" b="1" kern="1200">
              <a:latin typeface="+mj-lt"/>
            </a:rPr>
            <a:t>        INTERNACIONAL</a:t>
          </a:r>
        </a:p>
        <a:p xmlns:a="http://schemas.openxmlformats.org/drawingml/2006/main">
          <a:pPr algn="ctr"/>
          <a:r>
            <a:rPr lang="es-ES" sz="1100" b="1" kern="1200">
              <a:latin typeface="+mj-lt"/>
            </a:rPr>
            <a:t>     V/</a:t>
          </a:r>
        </a:p>
        <a:p xmlns:a="http://schemas.openxmlformats.org/drawingml/2006/main">
          <a:pPr algn="ctr"/>
          <a:r>
            <a:rPr lang="es-ES" sz="1100" b="1" kern="1200">
              <a:latin typeface="+mj-lt"/>
            </a:rPr>
            <a:t>     DOMÉSTICO</a:t>
          </a:r>
        </a:p>
        <a:p xmlns:a="http://schemas.openxmlformats.org/drawingml/2006/main">
          <a:endParaRPr lang="es-ES" sz="1100" kern="1200"/>
        </a:p>
      </cdr:txBody>
    </cdr:sp>
  </cdr:relSizeAnchor>
</c:userShapes>
</file>

<file path=word/drawings/drawing6.xml><?xml version="1.0" encoding="utf-8"?>
<c:userShapes xmlns:c="http://schemas.openxmlformats.org/drawingml/2006/chart">
  <cdr:relSizeAnchor xmlns:cdr="http://schemas.openxmlformats.org/drawingml/2006/chartDrawing">
    <cdr:from>
      <cdr:x>0.29774</cdr:x>
      <cdr:y>0.46196</cdr:y>
    </cdr:from>
    <cdr:to>
      <cdr:x>0.64171</cdr:x>
      <cdr:y>0.59853</cdr:y>
    </cdr:to>
    <cdr:sp macro="" textlink="">
      <cdr:nvSpPr>
        <cdr:cNvPr id="2" name="Cuadro de texto 1"/>
        <cdr:cNvSpPr txBox="1"/>
      </cdr:nvSpPr>
      <cdr:spPr>
        <a:xfrm xmlns:a="http://schemas.openxmlformats.org/drawingml/2006/main">
          <a:off x="1108694" y="1192144"/>
          <a:ext cx="1280821" cy="352438"/>
        </a:xfrm>
        <a:prstGeom xmlns:a="http://schemas.openxmlformats.org/drawingml/2006/main" prst="rect">
          <a:avLst/>
        </a:prstGeom>
      </cdr:spPr>
      <cdr:txBody>
        <a:bodyPr xmlns:a="http://schemas.openxmlformats.org/drawingml/2006/main" vertOverflow="clip" wrap="none" rtlCol="0"/>
        <a:lstStyle xmlns:a="http://schemas.openxmlformats.org/drawingml/2006/main"/>
        <a:p xmlns:a="http://schemas.openxmlformats.org/drawingml/2006/main">
          <a:pPr algn="ctr"/>
          <a:r>
            <a:rPr lang="es-ES" sz="1100" b="1" kern="1200">
              <a:latin typeface="+mj-lt"/>
            </a:rPr>
            <a:t>  TRAMOS QUANTÍA</a:t>
          </a:r>
        </a:p>
      </cdr:txBody>
    </cdr:sp>
  </cdr:relSizeAnchor>
</c:userShapes>
</file>

<file path=word/drawings/drawing7.xml><?xml version="1.0" encoding="utf-8"?>
<c:userShapes xmlns:c="http://schemas.openxmlformats.org/drawingml/2006/chart">
  <cdr:relSizeAnchor xmlns:cdr="http://schemas.openxmlformats.org/drawingml/2006/chartDrawing">
    <cdr:from>
      <cdr:x>0.35974</cdr:x>
      <cdr:y>0.47583</cdr:y>
    </cdr:from>
    <cdr:to>
      <cdr:x>0.63201</cdr:x>
      <cdr:y>0.7201</cdr:y>
    </cdr:to>
    <cdr:sp macro="" textlink="">
      <cdr:nvSpPr>
        <cdr:cNvPr id="2" name="CuadroTexto 1">
          <a:extLst xmlns:a="http://schemas.openxmlformats.org/drawingml/2006/main">
            <a:ext uri="{FF2B5EF4-FFF2-40B4-BE49-F238E27FC236}">
              <a16:creationId xmlns:a16="http://schemas.microsoft.com/office/drawing/2014/main" id="{16702A6D-887D-604C-F4B4-4BD284A61AC7}"/>
            </a:ext>
          </a:extLst>
        </cdr:cNvPr>
        <cdr:cNvSpPr txBox="1"/>
      </cdr:nvSpPr>
      <cdr:spPr>
        <a:xfrm xmlns:a="http://schemas.openxmlformats.org/drawingml/2006/main">
          <a:off x="2076449" y="1781176"/>
          <a:ext cx="1571625" cy="914400"/>
        </a:xfrm>
        <a:prstGeom xmlns:a="http://schemas.openxmlformats.org/drawingml/2006/main" prst="rect">
          <a:avLst/>
        </a:prstGeom>
      </cdr:spPr>
      <cdr:txBody>
        <a:bodyPr xmlns:a="http://schemas.openxmlformats.org/drawingml/2006/main" vertOverflow="clip" wrap="none" rtlCol="0"/>
        <a:lstStyle xmlns:a="http://schemas.openxmlformats.org/drawingml/2006/main"/>
        <a:p xmlns:a="http://schemas.openxmlformats.org/drawingml/2006/main">
          <a:endParaRPr lang="es-ES" sz="1100" kern="1200"/>
        </a:p>
      </cdr:txBody>
    </cdr:sp>
  </cdr:relSizeAnchor>
  <cdr:relSizeAnchor xmlns:cdr="http://schemas.openxmlformats.org/drawingml/2006/chartDrawing">
    <cdr:from>
      <cdr:x>0.35006</cdr:x>
      <cdr:y>0.40101</cdr:y>
    </cdr:from>
    <cdr:to>
      <cdr:x>0.73709</cdr:x>
      <cdr:y>0.58013</cdr:y>
    </cdr:to>
    <cdr:sp macro="" textlink="">
      <cdr:nvSpPr>
        <cdr:cNvPr id="3" name="CuadroTexto 2">
          <a:extLst xmlns:a="http://schemas.openxmlformats.org/drawingml/2006/main">
            <a:ext uri="{FF2B5EF4-FFF2-40B4-BE49-F238E27FC236}">
              <a16:creationId xmlns:a16="http://schemas.microsoft.com/office/drawing/2014/main" id="{561D7C99-77A2-3A97-B3EA-16EA86824F84}"/>
            </a:ext>
          </a:extLst>
        </cdr:cNvPr>
        <cdr:cNvSpPr txBox="1"/>
      </cdr:nvSpPr>
      <cdr:spPr>
        <a:xfrm xmlns:a="http://schemas.openxmlformats.org/drawingml/2006/main">
          <a:off x="1171459" y="970186"/>
          <a:ext cx="1295177" cy="433354"/>
        </a:xfrm>
        <a:prstGeom xmlns:a="http://schemas.openxmlformats.org/drawingml/2006/main" prst="rect">
          <a:avLst/>
        </a:prstGeom>
      </cdr:spPr>
      <cdr:txBody>
        <a:bodyPr xmlns:a="http://schemas.openxmlformats.org/drawingml/2006/main" vertOverflow="clip" wrap="none" rtlCol="0"/>
        <a:lstStyle xmlns:a="http://schemas.openxmlformats.org/drawingml/2006/main"/>
        <a:p xmlns:a="http://schemas.openxmlformats.org/drawingml/2006/main">
          <a:pPr algn="ctr"/>
          <a:r>
            <a:rPr lang="es-ES" sz="1000" b="1" kern="1200">
              <a:latin typeface="+mj-lt"/>
            </a:rPr>
            <a:t>CUMPLIMIENTO</a:t>
          </a:r>
          <a:r>
            <a:rPr lang="es-ES" sz="1000" b="1" kern="1200" baseline="0">
              <a:latin typeface="+mj-lt"/>
            </a:rPr>
            <a:t> </a:t>
          </a:r>
        </a:p>
        <a:p xmlns:a="http://schemas.openxmlformats.org/drawingml/2006/main">
          <a:pPr algn="ctr"/>
          <a:r>
            <a:rPr lang="es-ES" sz="1000" b="1" kern="1200" baseline="0">
              <a:latin typeface="+mj-lt"/>
            </a:rPr>
            <a:t>DE</a:t>
          </a:r>
          <a:r>
            <a:rPr lang="es-ES" sz="1000" b="1" kern="1200">
              <a:latin typeface="+mj-lt"/>
            </a:rPr>
            <a:t> LAUDO</a:t>
          </a:r>
        </a:p>
      </cdr:txBody>
    </cdr:sp>
  </cdr:relSizeAnchor>
</c:userShape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theme/themeOverride1.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2.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3.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469FC78-70C9-43B6-843C-B76C0E9AD6E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92</TotalTime>
  <Pages>3</Pages>
  <Words>442</Words>
  <Characters>2434</Characters>
  <Application>Microsoft Office Word</Application>
  <DocSecurity>0</DocSecurity>
  <Lines>20</Lines>
  <Paragraphs>5</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2871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Tribunal Arbitral de Barcelona TAB</dc:creator>
  <cp:keywords/>
  <dc:description/>
  <cp:lastModifiedBy>Secretaria TAB</cp:lastModifiedBy>
  <cp:revision>23</cp:revision>
  <cp:lastPrinted>2025-01-31T09:25:00Z</cp:lastPrinted>
  <dcterms:created xsi:type="dcterms:W3CDTF">2026-03-23T09:55:00Z</dcterms:created>
  <dcterms:modified xsi:type="dcterms:W3CDTF">2026-03-30T12:44:00Z</dcterms:modified>
</cp:coreProperties>
</file>