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6.xml" ContentType="application/vnd.openxmlformats-officedocument.drawingml.chartshapes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drawings/drawing7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8AC46" w14:textId="77777777" w:rsidR="0025621C" w:rsidRPr="00D92FD6" w:rsidRDefault="009D0069" w:rsidP="0025621C">
      <w:pPr>
        <w:spacing w:line="240" w:lineRule="auto"/>
        <w:jc w:val="center"/>
        <w:rPr>
          <w:rFonts w:asciiTheme="majorHAnsi" w:hAnsiTheme="majorHAnsi" w:cstheme="majorHAnsi"/>
          <w:sz w:val="18"/>
          <w:szCs w:val="18"/>
        </w:rPr>
      </w:pPr>
      <w:r w:rsidRPr="00D92FD6">
        <w:rPr>
          <w:rFonts w:asciiTheme="majorHAnsi" w:hAnsiTheme="majorHAnsi" w:cstheme="majorHAnsi"/>
          <w:b/>
          <w:bCs/>
          <w:sz w:val="24"/>
          <w:szCs w:val="24"/>
        </w:rPr>
        <w:t xml:space="preserve">STATISTICS </w:t>
      </w:r>
      <w:r w:rsidR="00650DEF" w:rsidRPr="00D92FD6">
        <w:rPr>
          <w:rFonts w:asciiTheme="majorHAnsi" w:hAnsiTheme="majorHAnsi" w:cstheme="majorHAnsi"/>
          <w:b/>
          <w:bCs/>
          <w:sz w:val="24"/>
          <w:szCs w:val="24"/>
        </w:rPr>
        <w:t>2024</w:t>
      </w:r>
      <w:r w:rsidR="0025621C" w:rsidRPr="00D92FD6">
        <w:rPr>
          <w:rFonts w:asciiTheme="majorHAnsi" w:hAnsiTheme="majorHAnsi" w:cstheme="majorHAnsi"/>
          <w:sz w:val="18"/>
          <w:szCs w:val="18"/>
        </w:rPr>
        <w:t xml:space="preserve"> </w:t>
      </w:r>
    </w:p>
    <w:p w14:paraId="614176B3" w14:textId="77777777" w:rsidR="0025621C" w:rsidRPr="000F57F2" w:rsidRDefault="0025621C" w:rsidP="0025621C">
      <w:pPr>
        <w:spacing w:line="240" w:lineRule="auto"/>
        <w:jc w:val="center"/>
        <w:rPr>
          <w:rFonts w:asciiTheme="majorHAnsi" w:hAnsiTheme="majorHAnsi" w:cstheme="majorHAnsi"/>
          <w:sz w:val="28"/>
          <w:szCs w:val="28"/>
        </w:rPr>
      </w:pPr>
    </w:p>
    <w:p w14:paraId="382FE6EC" w14:textId="5D4A5504" w:rsidR="0025621C" w:rsidRPr="000F57F2" w:rsidRDefault="0025621C" w:rsidP="0025621C">
      <w:pPr>
        <w:spacing w:line="240" w:lineRule="auto"/>
        <w:jc w:val="center"/>
        <w:rPr>
          <w:rFonts w:asciiTheme="majorHAnsi" w:hAnsiTheme="majorHAnsi" w:cstheme="majorHAnsi"/>
          <w:sz w:val="28"/>
          <w:szCs w:val="28"/>
        </w:rPr>
      </w:pPr>
      <w:r w:rsidRPr="000F57F2">
        <w:rPr>
          <w:rFonts w:asciiTheme="majorHAnsi" w:hAnsiTheme="majorHAnsi" w:cstheme="majorHAnsi"/>
          <w:sz w:val="28"/>
          <w:szCs w:val="28"/>
        </w:rPr>
        <w:t xml:space="preserve">During 2024, </w:t>
      </w:r>
      <w:r w:rsidRPr="000F57F2">
        <w:rPr>
          <w:rFonts w:asciiTheme="majorHAnsi" w:hAnsiTheme="majorHAnsi" w:cstheme="majorHAnsi"/>
          <w:b/>
          <w:bCs/>
          <w:sz w:val="28"/>
          <w:szCs w:val="28"/>
        </w:rPr>
        <w:t>73</w:t>
      </w:r>
      <w:r w:rsidRPr="000F57F2">
        <w:rPr>
          <w:rFonts w:asciiTheme="majorHAnsi" w:hAnsiTheme="majorHAnsi" w:cstheme="majorHAnsi"/>
          <w:sz w:val="28"/>
          <w:szCs w:val="28"/>
        </w:rPr>
        <w:t xml:space="preserve"> cases have been administered, of which 36 are still pending; </w:t>
      </w:r>
      <w:r w:rsidRPr="000F57F2">
        <w:rPr>
          <w:rFonts w:asciiTheme="majorHAnsi" w:hAnsiTheme="majorHAnsi" w:cstheme="majorHAnsi"/>
          <w:b/>
          <w:bCs/>
          <w:sz w:val="28"/>
          <w:szCs w:val="28"/>
        </w:rPr>
        <w:t>22</w:t>
      </w:r>
      <w:r w:rsidRPr="000F57F2">
        <w:rPr>
          <w:rFonts w:asciiTheme="majorHAnsi" w:hAnsiTheme="majorHAnsi" w:cstheme="majorHAnsi"/>
          <w:sz w:val="28"/>
          <w:szCs w:val="28"/>
        </w:rPr>
        <w:t xml:space="preserve"> awards have been issued and 37 arbitrations have been finalized.</w:t>
      </w:r>
    </w:p>
    <w:p w14:paraId="0BDE7229" w14:textId="6EC7EA44" w:rsidR="00753F5D" w:rsidRPr="00D92FD6" w:rsidRDefault="00753F5D" w:rsidP="00114D29">
      <w:pPr>
        <w:rPr>
          <w:rFonts w:asciiTheme="majorHAnsi" w:hAnsiTheme="majorHAnsi" w:cstheme="majorHAnsi"/>
          <w:sz w:val="24"/>
          <w:szCs w:val="24"/>
        </w:rPr>
      </w:pPr>
    </w:p>
    <w:p w14:paraId="50D44C93" w14:textId="52E14AEC" w:rsidR="0025621C" w:rsidRPr="00D92FD6" w:rsidRDefault="0025621C" w:rsidP="0025621C">
      <w:pPr>
        <w:rPr>
          <w:rFonts w:asciiTheme="majorHAnsi" w:hAnsiTheme="majorHAnsi" w:cstheme="majorHAnsi"/>
          <w:sz w:val="18"/>
          <w:szCs w:val="18"/>
        </w:rPr>
      </w:pPr>
    </w:p>
    <w:p w14:paraId="753711CE" w14:textId="2804190D" w:rsidR="0025621C" w:rsidRPr="00D92FD6" w:rsidRDefault="0025621C" w:rsidP="009D0069">
      <w:pPr>
        <w:jc w:val="center"/>
        <w:rPr>
          <w:rFonts w:asciiTheme="majorHAnsi" w:hAnsiTheme="majorHAnsi" w:cstheme="majorHAnsi"/>
          <w:sz w:val="18"/>
          <w:szCs w:val="18"/>
        </w:rPr>
      </w:pPr>
      <w:r w:rsidRPr="00D92FD6">
        <w:rPr>
          <w:noProof/>
        </w:rPr>
        <w:drawing>
          <wp:anchor distT="0" distB="0" distL="114300" distR="114300" simplePos="0" relativeHeight="251659264" behindDoc="1" locked="0" layoutInCell="1" allowOverlap="1" wp14:anchorId="6D83B7FF" wp14:editId="4041CEFB">
            <wp:simplePos x="0" y="0"/>
            <wp:positionH relativeFrom="margin">
              <wp:align>left</wp:align>
            </wp:positionH>
            <wp:positionV relativeFrom="page">
              <wp:posOffset>2306320</wp:posOffset>
            </wp:positionV>
            <wp:extent cx="3689350" cy="2301240"/>
            <wp:effectExtent l="0" t="0" r="6350" b="3810"/>
            <wp:wrapTight wrapText="bothSides">
              <wp:wrapPolygon edited="0">
                <wp:start x="0" y="0"/>
                <wp:lineTo x="0" y="21457"/>
                <wp:lineTo x="21526" y="21457"/>
                <wp:lineTo x="21526" y="0"/>
                <wp:lineTo x="0" y="0"/>
              </wp:wrapPolygon>
            </wp:wrapTight>
            <wp:docPr id="163200240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B71469F-2BDF-77CA-9F36-741D97B2564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60DF3C" w14:textId="4DD0CC97" w:rsidR="0025621C" w:rsidRPr="00D92FD6" w:rsidRDefault="0025621C" w:rsidP="009D0069">
      <w:pPr>
        <w:jc w:val="center"/>
        <w:rPr>
          <w:rFonts w:asciiTheme="majorHAnsi" w:hAnsiTheme="majorHAnsi" w:cstheme="majorHAnsi"/>
          <w:sz w:val="18"/>
          <w:szCs w:val="18"/>
        </w:rPr>
      </w:pPr>
    </w:p>
    <w:p w14:paraId="7D6B24AB" w14:textId="77777777" w:rsidR="0025621C" w:rsidRPr="00D92FD6" w:rsidRDefault="0025621C" w:rsidP="009D0069">
      <w:pPr>
        <w:jc w:val="center"/>
        <w:rPr>
          <w:rFonts w:asciiTheme="majorHAnsi" w:hAnsiTheme="majorHAnsi" w:cstheme="majorHAnsi"/>
          <w:sz w:val="18"/>
          <w:szCs w:val="18"/>
        </w:rPr>
      </w:pPr>
    </w:p>
    <w:p w14:paraId="664B8FF7" w14:textId="5AB56EDE" w:rsidR="00C908D1" w:rsidRPr="00D92FD6" w:rsidRDefault="009D0069" w:rsidP="009D0069">
      <w:pPr>
        <w:jc w:val="center"/>
        <w:rPr>
          <w:rFonts w:asciiTheme="majorHAnsi" w:hAnsiTheme="majorHAnsi" w:cstheme="majorHAnsi"/>
          <w:sz w:val="18"/>
          <w:szCs w:val="18"/>
        </w:rPr>
      </w:pPr>
      <w:r w:rsidRPr="00D92FD6">
        <w:rPr>
          <w:rFonts w:asciiTheme="majorHAnsi" w:hAnsiTheme="majorHAnsi" w:cstheme="majorHAnsi"/>
          <w:sz w:val="18"/>
          <w:szCs w:val="18"/>
        </w:rPr>
        <w:t>The main subjects of arbitration are highlighted as residential and industrial warehouse leases, construction and collaboration contracts, and service agreements for professional and commercial services. Corporate law continues to have a significant presence, as in previous years.</w:t>
      </w:r>
    </w:p>
    <w:p w14:paraId="43E671F2" w14:textId="5D5F333B" w:rsidR="00C908D1" w:rsidRPr="00D92FD6" w:rsidRDefault="00C908D1" w:rsidP="00753F5D">
      <w:pPr>
        <w:jc w:val="both"/>
        <w:rPr>
          <w:rFonts w:asciiTheme="majorHAnsi" w:hAnsiTheme="majorHAnsi" w:cstheme="majorHAnsi"/>
          <w:sz w:val="18"/>
          <w:szCs w:val="18"/>
        </w:rPr>
      </w:pPr>
    </w:p>
    <w:p w14:paraId="067FE1BB" w14:textId="7248785F" w:rsidR="00C908D1" w:rsidRPr="00D92FD6" w:rsidRDefault="00C908D1" w:rsidP="00753F5D">
      <w:pPr>
        <w:jc w:val="both"/>
        <w:rPr>
          <w:rFonts w:asciiTheme="majorHAnsi" w:hAnsiTheme="majorHAnsi" w:cstheme="majorHAnsi"/>
          <w:sz w:val="18"/>
          <w:szCs w:val="18"/>
        </w:rPr>
      </w:pPr>
    </w:p>
    <w:p w14:paraId="2D816A08" w14:textId="4A7B938E" w:rsidR="00C908D1" w:rsidRPr="00D92FD6" w:rsidRDefault="00C908D1" w:rsidP="005A6A36">
      <w:pPr>
        <w:jc w:val="right"/>
        <w:rPr>
          <w:rFonts w:asciiTheme="majorHAnsi" w:hAnsiTheme="majorHAnsi" w:cstheme="majorHAnsi"/>
          <w:sz w:val="18"/>
          <w:szCs w:val="18"/>
        </w:rPr>
      </w:pPr>
    </w:p>
    <w:p w14:paraId="5B23ADB3" w14:textId="01D8826F" w:rsidR="00C908D1" w:rsidRPr="00D92FD6" w:rsidRDefault="00FF4903" w:rsidP="00753F5D">
      <w:pPr>
        <w:jc w:val="both"/>
        <w:rPr>
          <w:rFonts w:asciiTheme="majorHAnsi" w:hAnsiTheme="majorHAnsi" w:cstheme="majorHAnsi"/>
          <w:sz w:val="18"/>
          <w:szCs w:val="18"/>
        </w:rPr>
      </w:pPr>
      <w:r w:rsidRPr="00D92FD6">
        <w:rPr>
          <w:noProof/>
        </w:rPr>
        <w:drawing>
          <wp:anchor distT="0" distB="0" distL="114300" distR="114300" simplePos="0" relativeHeight="251660288" behindDoc="1" locked="0" layoutInCell="1" allowOverlap="1" wp14:anchorId="78B07D10" wp14:editId="4B7BF05D">
            <wp:simplePos x="0" y="0"/>
            <wp:positionH relativeFrom="column">
              <wp:posOffset>3766820</wp:posOffset>
            </wp:positionH>
            <wp:positionV relativeFrom="page">
              <wp:posOffset>5547360</wp:posOffset>
            </wp:positionV>
            <wp:extent cx="3416300" cy="2354580"/>
            <wp:effectExtent l="0" t="0" r="0" b="7620"/>
            <wp:wrapTight wrapText="bothSides">
              <wp:wrapPolygon edited="0">
                <wp:start x="0" y="0"/>
                <wp:lineTo x="0" y="21495"/>
                <wp:lineTo x="21439" y="21495"/>
                <wp:lineTo x="21439" y="0"/>
                <wp:lineTo x="0" y="0"/>
              </wp:wrapPolygon>
            </wp:wrapTight>
            <wp:docPr id="87424690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2166C99B-B942-CCC8-DC7B-3EE2FB059A3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V relativeFrom="margin">
              <wp14:pctHeight>0</wp14:pctHeight>
            </wp14:sizeRelV>
          </wp:anchor>
        </w:drawing>
      </w:r>
    </w:p>
    <w:p w14:paraId="2249E65E" w14:textId="531AD98E" w:rsidR="005A6A36" w:rsidRPr="00D92FD6" w:rsidRDefault="005A6A36" w:rsidP="00753F5D">
      <w:pPr>
        <w:jc w:val="both"/>
        <w:rPr>
          <w:rFonts w:asciiTheme="majorHAnsi" w:hAnsiTheme="majorHAnsi" w:cstheme="majorHAnsi"/>
          <w:sz w:val="18"/>
          <w:szCs w:val="18"/>
        </w:rPr>
      </w:pPr>
    </w:p>
    <w:p w14:paraId="5A436C65" w14:textId="77777777" w:rsidR="0025621C" w:rsidRPr="00D92FD6" w:rsidRDefault="0025621C" w:rsidP="00F14C65">
      <w:pPr>
        <w:jc w:val="center"/>
        <w:rPr>
          <w:rFonts w:asciiTheme="majorHAnsi" w:hAnsiTheme="majorHAnsi" w:cstheme="majorHAnsi"/>
          <w:sz w:val="18"/>
          <w:szCs w:val="18"/>
        </w:rPr>
      </w:pPr>
    </w:p>
    <w:p w14:paraId="5511EE92" w14:textId="77777777" w:rsidR="0025621C" w:rsidRPr="00D92FD6" w:rsidRDefault="0025621C" w:rsidP="00F14C65">
      <w:pPr>
        <w:jc w:val="center"/>
        <w:rPr>
          <w:rFonts w:asciiTheme="majorHAnsi" w:hAnsiTheme="majorHAnsi" w:cstheme="majorHAnsi"/>
          <w:sz w:val="18"/>
          <w:szCs w:val="18"/>
        </w:rPr>
      </w:pPr>
    </w:p>
    <w:p w14:paraId="378E20C8" w14:textId="77777777" w:rsidR="0025621C" w:rsidRPr="00D92FD6" w:rsidRDefault="0025621C" w:rsidP="00F14C65">
      <w:pPr>
        <w:jc w:val="center"/>
        <w:rPr>
          <w:rFonts w:asciiTheme="majorHAnsi" w:hAnsiTheme="majorHAnsi" w:cstheme="majorHAnsi"/>
          <w:sz w:val="18"/>
          <w:szCs w:val="18"/>
        </w:rPr>
      </w:pPr>
    </w:p>
    <w:p w14:paraId="726836D4" w14:textId="2BFA2C9C" w:rsidR="00C908D1" w:rsidRPr="00D92FD6" w:rsidRDefault="00F14C65" w:rsidP="00F14C65">
      <w:pPr>
        <w:jc w:val="center"/>
        <w:rPr>
          <w:rFonts w:asciiTheme="majorHAnsi" w:hAnsiTheme="majorHAnsi" w:cstheme="majorHAnsi"/>
          <w:sz w:val="18"/>
          <w:szCs w:val="18"/>
        </w:rPr>
      </w:pPr>
      <w:r w:rsidRPr="00D92FD6">
        <w:rPr>
          <w:rFonts w:asciiTheme="majorHAnsi" w:hAnsiTheme="majorHAnsi" w:cstheme="majorHAnsi"/>
          <w:sz w:val="18"/>
          <w:szCs w:val="18"/>
        </w:rPr>
        <w:t>The preference for law-based arbitration over equity-based arbitration, as agreed by the parties, remains. This year, equity-based arbitration has increased compared to last year, when there were no equity arbitrations. Two equity arbitrations have been initiated, representing a 9% share.</w:t>
      </w:r>
    </w:p>
    <w:p w14:paraId="5BFEFFB4" w14:textId="46968DC2" w:rsidR="00C908D1" w:rsidRPr="00D92FD6" w:rsidRDefault="005C6655" w:rsidP="00C908D1">
      <w:pPr>
        <w:jc w:val="right"/>
        <w:rPr>
          <w:rFonts w:asciiTheme="majorHAnsi" w:hAnsiTheme="majorHAnsi" w:cstheme="majorHAnsi"/>
          <w:sz w:val="18"/>
          <w:szCs w:val="18"/>
        </w:rPr>
      </w:pPr>
      <w:r w:rsidRPr="00D92FD6">
        <w:rPr>
          <w:noProof/>
        </w:rPr>
        <w:drawing>
          <wp:anchor distT="0" distB="0" distL="114300" distR="114300" simplePos="0" relativeHeight="251661312" behindDoc="1" locked="0" layoutInCell="1" allowOverlap="1" wp14:anchorId="207E4AD5" wp14:editId="6FB9DAC7">
            <wp:simplePos x="0" y="0"/>
            <wp:positionH relativeFrom="margin">
              <wp:align>left</wp:align>
            </wp:positionH>
            <wp:positionV relativeFrom="page">
              <wp:posOffset>7814310</wp:posOffset>
            </wp:positionV>
            <wp:extent cx="3672840" cy="2346960"/>
            <wp:effectExtent l="0" t="0" r="3810" b="0"/>
            <wp:wrapTight wrapText="bothSides">
              <wp:wrapPolygon edited="0">
                <wp:start x="0" y="0"/>
                <wp:lineTo x="0" y="21390"/>
                <wp:lineTo x="21510" y="21390"/>
                <wp:lineTo x="21510" y="0"/>
                <wp:lineTo x="0" y="0"/>
              </wp:wrapPolygon>
            </wp:wrapTight>
            <wp:docPr id="49528127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3B563335-A817-24D5-D416-411529FF3D5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90E3DF" w14:textId="69504B1B" w:rsidR="005A6A36" w:rsidRPr="00D92FD6" w:rsidRDefault="005A6A36" w:rsidP="00C908D1">
      <w:pPr>
        <w:jc w:val="right"/>
        <w:rPr>
          <w:rFonts w:asciiTheme="majorHAnsi" w:hAnsiTheme="majorHAnsi" w:cstheme="majorHAnsi"/>
          <w:sz w:val="18"/>
          <w:szCs w:val="18"/>
        </w:rPr>
      </w:pPr>
    </w:p>
    <w:p w14:paraId="64A60E57" w14:textId="10DB50D9" w:rsidR="005A6A36" w:rsidRPr="00D92FD6" w:rsidRDefault="00F14C65" w:rsidP="00F14C65">
      <w:pPr>
        <w:tabs>
          <w:tab w:val="left" w:pos="3433"/>
        </w:tabs>
        <w:rPr>
          <w:rFonts w:asciiTheme="majorHAnsi" w:hAnsiTheme="majorHAnsi" w:cstheme="majorHAnsi"/>
          <w:sz w:val="18"/>
          <w:szCs w:val="18"/>
        </w:rPr>
      </w:pPr>
      <w:r w:rsidRPr="00D92FD6">
        <w:rPr>
          <w:rFonts w:asciiTheme="majorHAnsi" w:hAnsiTheme="majorHAnsi" w:cstheme="majorHAnsi"/>
          <w:sz w:val="18"/>
          <w:szCs w:val="18"/>
        </w:rPr>
        <w:tab/>
      </w:r>
    </w:p>
    <w:p w14:paraId="4C771CBA" w14:textId="334058AC" w:rsidR="00E10DE5" w:rsidRPr="00D92FD6" w:rsidRDefault="00E10DE5" w:rsidP="00E10DE5">
      <w:pPr>
        <w:rPr>
          <w:rFonts w:asciiTheme="majorHAnsi" w:hAnsiTheme="majorHAnsi" w:cstheme="majorHAnsi"/>
          <w:sz w:val="18"/>
          <w:szCs w:val="18"/>
        </w:rPr>
      </w:pPr>
    </w:p>
    <w:p w14:paraId="612183BB" w14:textId="77777777" w:rsidR="00E10DE5" w:rsidRPr="00D92FD6" w:rsidRDefault="00E10DE5" w:rsidP="00E10DE5">
      <w:pPr>
        <w:rPr>
          <w:rFonts w:asciiTheme="majorHAnsi" w:hAnsiTheme="majorHAnsi" w:cstheme="majorHAnsi"/>
          <w:sz w:val="18"/>
          <w:szCs w:val="18"/>
        </w:rPr>
      </w:pPr>
    </w:p>
    <w:p w14:paraId="41B51C70" w14:textId="77777777" w:rsidR="0025621C" w:rsidRPr="00D92FD6" w:rsidRDefault="0025621C" w:rsidP="00570693">
      <w:pPr>
        <w:jc w:val="center"/>
        <w:rPr>
          <w:rFonts w:asciiTheme="majorHAnsi" w:hAnsiTheme="majorHAnsi" w:cstheme="majorHAnsi"/>
          <w:sz w:val="18"/>
          <w:szCs w:val="18"/>
        </w:rPr>
      </w:pPr>
    </w:p>
    <w:p w14:paraId="0B098BA4" w14:textId="77777777" w:rsidR="0025621C" w:rsidRPr="00D92FD6" w:rsidRDefault="0025621C" w:rsidP="00570693">
      <w:pPr>
        <w:jc w:val="center"/>
        <w:rPr>
          <w:rFonts w:asciiTheme="majorHAnsi" w:hAnsiTheme="majorHAnsi" w:cstheme="majorHAnsi"/>
          <w:sz w:val="18"/>
          <w:szCs w:val="18"/>
        </w:rPr>
      </w:pPr>
    </w:p>
    <w:p w14:paraId="23CA84C5" w14:textId="5C10C95B" w:rsidR="00E10DE5" w:rsidRPr="00D92FD6" w:rsidRDefault="00570693" w:rsidP="00570693">
      <w:pPr>
        <w:jc w:val="center"/>
        <w:rPr>
          <w:rFonts w:asciiTheme="majorHAnsi" w:hAnsiTheme="majorHAnsi" w:cstheme="majorHAnsi"/>
          <w:sz w:val="18"/>
          <w:szCs w:val="18"/>
        </w:rPr>
      </w:pPr>
      <w:r w:rsidRPr="00D92FD6">
        <w:rPr>
          <w:rFonts w:asciiTheme="majorHAnsi" w:hAnsiTheme="majorHAnsi" w:cstheme="majorHAnsi"/>
          <w:sz w:val="18"/>
          <w:szCs w:val="18"/>
        </w:rPr>
        <w:t xml:space="preserve">As with last year, the presence of women as </w:t>
      </w:r>
      <w:r w:rsidR="004040AA" w:rsidRPr="00D92FD6">
        <w:rPr>
          <w:rFonts w:asciiTheme="majorHAnsi" w:hAnsiTheme="majorHAnsi" w:cstheme="majorHAnsi"/>
          <w:sz w:val="18"/>
          <w:szCs w:val="18"/>
        </w:rPr>
        <w:t>arbitrator</w:t>
      </w:r>
      <w:r w:rsidRPr="00D92FD6">
        <w:rPr>
          <w:rFonts w:asciiTheme="majorHAnsi" w:hAnsiTheme="majorHAnsi" w:cstheme="majorHAnsi"/>
          <w:sz w:val="18"/>
          <w:szCs w:val="18"/>
        </w:rPr>
        <w:t xml:space="preserve"> is still </w:t>
      </w:r>
      <w:r w:rsidR="004040AA" w:rsidRPr="00D92FD6">
        <w:rPr>
          <w:rFonts w:asciiTheme="majorHAnsi" w:hAnsiTheme="majorHAnsi" w:cstheme="majorHAnsi"/>
          <w:sz w:val="18"/>
          <w:szCs w:val="18"/>
        </w:rPr>
        <w:t>a long</w:t>
      </w:r>
      <w:r w:rsidRPr="00D92FD6">
        <w:rPr>
          <w:rFonts w:asciiTheme="majorHAnsi" w:hAnsiTheme="majorHAnsi" w:cstheme="majorHAnsi"/>
          <w:sz w:val="18"/>
          <w:szCs w:val="18"/>
        </w:rPr>
        <w:t xml:space="preserve"> from being on equal footing with men.</w:t>
      </w:r>
    </w:p>
    <w:p w14:paraId="5933BAF1" w14:textId="77777777" w:rsidR="00E10DE5" w:rsidRPr="00D92FD6" w:rsidRDefault="00E10DE5" w:rsidP="00E10DE5">
      <w:pPr>
        <w:rPr>
          <w:rFonts w:asciiTheme="majorHAnsi" w:hAnsiTheme="majorHAnsi" w:cstheme="majorHAnsi"/>
          <w:sz w:val="18"/>
          <w:szCs w:val="18"/>
        </w:rPr>
      </w:pPr>
    </w:p>
    <w:p w14:paraId="402856E1" w14:textId="77777777" w:rsidR="00E10DE5" w:rsidRPr="00D92FD6" w:rsidRDefault="00E10DE5" w:rsidP="00E10DE5">
      <w:pPr>
        <w:rPr>
          <w:rFonts w:asciiTheme="majorHAnsi" w:hAnsiTheme="majorHAnsi" w:cstheme="majorHAnsi"/>
          <w:sz w:val="18"/>
          <w:szCs w:val="18"/>
        </w:rPr>
      </w:pPr>
    </w:p>
    <w:p w14:paraId="3762F8AF" w14:textId="77777777" w:rsidR="0025621C" w:rsidRPr="00D92FD6" w:rsidRDefault="0025621C" w:rsidP="00E10DE5">
      <w:pPr>
        <w:rPr>
          <w:rFonts w:asciiTheme="majorHAnsi" w:hAnsiTheme="majorHAnsi" w:cstheme="majorHAnsi"/>
          <w:sz w:val="18"/>
          <w:szCs w:val="18"/>
        </w:rPr>
      </w:pPr>
    </w:p>
    <w:p w14:paraId="5A0D1D44" w14:textId="77777777" w:rsidR="0025621C" w:rsidRPr="00D92FD6" w:rsidRDefault="0025621C" w:rsidP="00E10DE5">
      <w:pPr>
        <w:rPr>
          <w:rFonts w:asciiTheme="majorHAnsi" w:hAnsiTheme="majorHAnsi" w:cstheme="majorHAnsi"/>
          <w:sz w:val="18"/>
          <w:szCs w:val="18"/>
        </w:rPr>
      </w:pPr>
    </w:p>
    <w:p w14:paraId="65CD74DA" w14:textId="16F338CC" w:rsidR="0025621C" w:rsidRPr="00D92FD6" w:rsidRDefault="0025621C" w:rsidP="00E10DE5">
      <w:pPr>
        <w:rPr>
          <w:rFonts w:asciiTheme="majorHAnsi" w:hAnsiTheme="majorHAnsi" w:cstheme="majorHAnsi"/>
          <w:sz w:val="18"/>
          <w:szCs w:val="18"/>
        </w:rPr>
      </w:pPr>
    </w:p>
    <w:p w14:paraId="36F3A479" w14:textId="6111D2DB" w:rsidR="00E10DE5" w:rsidRPr="00D92FD6" w:rsidRDefault="00E10DE5" w:rsidP="00E10DE5">
      <w:pPr>
        <w:rPr>
          <w:rFonts w:asciiTheme="majorHAnsi" w:hAnsiTheme="majorHAnsi" w:cstheme="majorHAnsi"/>
          <w:sz w:val="18"/>
          <w:szCs w:val="18"/>
        </w:rPr>
      </w:pPr>
    </w:p>
    <w:p w14:paraId="4FC8B2DD" w14:textId="4243068B" w:rsidR="0025621C" w:rsidRPr="00D92FD6" w:rsidRDefault="0025621C" w:rsidP="00570693">
      <w:pPr>
        <w:jc w:val="center"/>
        <w:rPr>
          <w:rFonts w:asciiTheme="majorHAnsi" w:hAnsiTheme="majorHAnsi" w:cstheme="majorHAnsi"/>
          <w:sz w:val="18"/>
          <w:szCs w:val="18"/>
        </w:rPr>
      </w:pPr>
      <w:r w:rsidRPr="00D92FD6">
        <w:rPr>
          <w:noProof/>
        </w:rPr>
        <w:drawing>
          <wp:anchor distT="0" distB="0" distL="114300" distR="114300" simplePos="0" relativeHeight="251677696" behindDoc="1" locked="0" layoutInCell="1" allowOverlap="1" wp14:anchorId="4BEA09DD" wp14:editId="26B91A71">
            <wp:simplePos x="0" y="0"/>
            <wp:positionH relativeFrom="column">
              <wp:posOffset>3390265</wp:posOffset>
            </wp:positionH>
            <wp:positionV relativeFrom="page">
              <wp:posOffset>928370</wp:posOffset>
            </wp:positionV>
            <wp:extent cx="3714750" cy="2552700"/>
            <wp:effectExtent l="0" t="0" r="0" b="0"/>
            <wp:wrapTight wrapText="bothSides">
              <wp:wrapPolygon edited="0">
                <wp:start x="0" y="0"/>
                <wp:lineTo x="0" y="21439"/>
                <wp:lineTo x="21489" y="21439"/>
                <wp:lineTo x="21489" y="0"/>
                <wp:lineTo x="0" y="0"/>
              </wp:wrapPolygon>
            </wp:wrapTight>
            <wp:docPr id="150492055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7A1FA65D-5E74-25A4-F742-126C6EF3984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</wp:anchor>
        </w:drawing>
      </w:r>
    </w:p>
    <w:p w14:paraId="6B6D2FFB" w14:textId="77777777" w:rsidR="0025621C" w:rsidRPr="00D92FD6" w:rsidRDefault="0025621C" w:rsidP="00570693">
      <w:pPr>
        <w:jc w:val="center"/>
        <w:rPr>
          <w:rFonts w:asciiTheme="majorHAnsi" w:hAnsiTheme="majorHAnsi" w:cstheme="majorHAnsi"/>
          <w:sz w:val="18"/>
          <w:szCs w:val="18"/>
        </w:rPr>
      </w:pPr>
    </w:p>
    <w:p w14:paraId="0054501A" w14:textId="77777777" w:rsidR="0025621C" w:rsidRPr="00D92FD6" w:rsidRDefault="0025621C" w:rsidP="00570693">
      <w:pPr>
        <w:jc w:val="center"/>
        <w:rPr>
          <w:rFonts w:asciiTheme="majorHAnsi" w:hAnsiTheme="majorHAnsi" w:cstheme="majorHAnsi"/>
          <w:sz w:val="18"/>
          <w:szCs w:val="18"/>
        </w:rPr>
      </w:pPr>
    </w:p>
    <w:p w14:paraId="5EBCFBC1" w14:textId="56D68FB7" w:rsidR="005A6A36" w:rsidRPr="00D92FD6" w:rsidRDefault="00570693" w:rsidP="00570693">
      <w:pPr>
        <w:jc w:val="center"/>
        <w:rPr>
          <w:rFonts w:asciiTheme="majorHAnsi" w:hAnsiTheme="majorHAnsi" w:cstheme="majorHAnsi"/>
          <w:sz w:val="18"/>
          <w:szCs w:val="18"/>
        </w:rPr>
      </w:pPr>
      <w:r w:rsidRPr="00D92FD6">
        <w:rPr>
          <w:rFonts w:asciiTheme="majorHAnsi" w:hAnsiTheme="majorHAnsi" w:cstheme="majorHAnsi"/>
          <w:sz w:val="18"/>
          <w:szCs w:val="18"/>
        </w:rPr>
        <w:t xml:space="preserve">The predominant language of the arbitrations has been Spanish, although in many of these arbitrations the parties have agreed to conduct evidentiary </w:t>
      </w:r>
      <w:r w:rsidR="004040AA" w:rsidRPr="00D92FD6">
        <w:rPr>
          <w:rFonts w:asciiTheme="majorHAnsi" w:hAnsiTheme="majorHAnsi" w:cstheme="majorHAnsi"/>
          <w:sz w:val="18"/>
          <w:szCs w:val="18"/>
        </w:rPr>
        <w:t xml:space="preserve">proceedings </w:t>
      </w:r>
      <w:r w:rsidRPr="00D92FD6">
        <w:rPr>
          <w:rFonts w:asciiTheme="majorHAnsi" w:hAnsiTheme="majorHAnsi" w:cstheme="majorHAnsi"/>
          <w:sz w:val="18"/>
          <w:szCs w:val="18"/>
        </w:rPr>
        <w:t>and submit documents in other languages such as English and Russian.</w:t>
      </w:r>
    </w:p>
    <w:p w14:paraId="4DEB49A3" w14:textId="057BB08D" w:rsidR="00A518D2" w:rsidRPr="00D92FD6" w:rsidRDefault="00A518D2" w:rsidP="005A6A36">
      <w:pPr>
        <w:rPr>
          <w:rFonts w:asciiTheme="majorHAnsi" w:hAnsiTheme="majorHAnsi" w:cstheme="majorHAnsi"/>
          <w:sz w:val="18"/>
          <w:szCs w:val="18"/>
        </w:rPr>
      </w:pPr>
    </w:p>
    <w:p w14:paraId="016DAF9B" w14:textId="4393FA1C" w:rsidR="00AF5248" w:rsidRPr="00D92FD6" w:rsidRDefault="00AF5248" w:rsidP="005A6A36">
      <w:pPr>
        <w:rPr>
          <w:rFonts w:asciiTheme="majorHAnsi" w:hAnsiTheme="majorHAnsi" w:cstheme="majorHAnsi"/>
          <w:sz w:val="18"/>
          <w:szCs w:val="18"/>
        </w:rPr>
      </w:pPr>
    </w:p>
    <w:p w14:paraId="75E59A21" w14:textId="24D76667" w:rsidR="00AF5248" w:rsidRPr="00D92FD6" w:rsidRDefault="00AF5248" w:rsidP="005A6A36">
      <w:pPr>
        <w:rPr>
          <w:rFonts w:asciiTheme="majorHAnsi" w:hAnsiTheme="majorHAnsi" w:cstheme="majorHAnsi"/>
          <w:sz w:val="18"/>
          <w:szCs w:val="18"/>
        </w:rPr>
      </w:pPr>
    </w:p>
    <w:p w14:paraId="54BCC374" w14:textId="55A6D127" w:rsidR="002836FD" w:rsidRPr="00D92FD6" w:rsidRDefault="005C6655" w:rsidP="007C59D4">
      <w:pPr>
        <w:jc w:val="right"/>
        <w:rPr>
          <w:rFonts w:asciiTheme="majorHAnsi" w:hAnsiTheme="majorHAnsi" w:cstheme="majorHAnsi"/>
          <w:sz w:val="18"/>
          <w:szCs w:val="18"/>
        </w:rPr>
      </w:pPr>
      <w:r w:rsidRPr="00D92FD6">
        <w:rPr>
          <w:noProof/>
        </w:rPr>
        <w:drawing>
          <wp:anchor distT="0" distB="0" distL="114300" distR="114300" simplePos="0" relativeHeight="251662336" behindDoc="1" locked="0" layoutInCell="1" allowOverlap="1" wp14:anchorId="68B7C0B2" wp14:editId="1EC3B021">
            <wp:simplePos x="0" y="0"/>
            <wp:positionH relativeFrom="column">
              <wp:posOffset>-27940</wp:posOffset>
            </wp:positionH>
            <wp:positionV relativeFrom="page">
              <wp:posOffset>3458210</wp:posOffset>
            </wp:positionV>
            <wp:extent cx="3543300" cy="2733040"/>
            <wp:effectExtent l="0" t="0" r="0" b="0"/>
            <wp:wrapTight wrapText="bothSides">
              <wp:wrapPolygon edited="0">
                <wp:start x="0" y="0"/>
                <wp:lineTo x="0" y="21379"/>
                <wp:lineTo x="21484" y="21379"/>
                <wp:lineTo x="21484" y="0"/>
                <wp:lineTo x="0" y="0"/>
              </wp:wrapPolygon>
            </wp:wrapTight>
            <wp:docPr id="97947322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1173CA46-9763-BEA0-6347-C8A8C30C918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3AF0E5" w14:textId="77777777" w:rsidR="000F57F2" w:rsidRDefault="000F57F2" w:rsidP="00570693">
      <w:pPr>
        <w:jc w:val="center"/>
        <w:rPr>
          <w:rFonts w:asciiTheme="majorHAnsi" w:hAnsiTheme="majorHAnsi" w:cstheme="majorHAnsi"/>
          <w:sz w:val="18"/>
          <w:szCs w:val="18"/>
        </w:rPr>
      </w:pPr>
    </w:p>
    <w:p w14:paraId="7D2B3B01" w14:textId="77777777" w:rsidR="000F57F2" w:rsidRDefault="000F57F2" w:rsidP="00570693">
      <w:pPr>
        <w:jc w:val="center"/>
        <w:rPr>
          <w:rFonts w:asciiTheme="majorHAnsi" w:hAnsiTheme="majorHAnsi" w:cstheme="majorHAnsi"/>
          <w:sz w:val="18"/>
          <w:szCs w:val="18"/>
        </w:rPr>
      </w:pPr>
    </w:p>
    <w:p w14:paraId="16A0C95C" w14:textId="77777777" w:rsidR="000F57F2" w:rsidRDefault="000F57F2" w:rsidP="00570693">
      <w:pPr>
        <w:jc w:val="center"/>
        <w:rPr>
          <w:rFonts w:asciiTheme="majorHAnsi" w:hAnsiTheme="majorHAnsi" w:cstheme="majorHAnsi"/>
          <w:sz w:val="18"/>
          <w:szCs w:val="18"/>
        </w:rPr>
      </w:pPr>
    </w:p>
    <w:p w14:paraId="64B70162" w14:textId="7E838561" w:rsidR="00E24138" w:rsidRPr="00D92FD6" w:rsidRDefault="00570693" w:rsidP="00570693">
      <w:pPr>
        <w:jc w:val="center"/>
        <w:rPr>
          <w:rFonts w:asciiTheme="majorHAnsi" w:hAnsiTheme="majorHAnsi" w:cstheme="majorHAnsi"/>
          <w:sz w:val="18"/>
          <w:szCs w:val="18"/>
        </w:rPr>
      </w:pPr>
      <w:r w:rsidRPr="00D92FD6">
        <w:rPr>
          <w:rFonts w:asciiTheme="majorHAnsi" w:hAnsiTheme="majorHAnsi" w:cstheme="majorHAnsi"/>
          <w:sz w:val="18"/>
          <w:szCs w:val="18"/>
        </w:rPr>
        <w:t>The percentages of international arbitration versus domestic arbitration are the same as last year, with domestic arbitration clearly predominant.</w:t>
      </w:r>
    </w:p>
    <w:p w14:paraId="0155706D" w14:textId="77777777" w:rsidR="00570693" w:rsidRPr="00D92FD6" w:rsidRDefault="00570693" w:rsidP="00AF5248">
      <w:pPr>
        <w:jc w:val="right"/>
        <w:rPr>
          <w:rFonts w:asciiTheme="majorHAnsi" w:hAnsiTheme="majorHAnsi" w:cstheme="majorHAnsi"/>
          <w:sz w:val="18"/>
          <w:szCs w:val="18"/>
        </w:rPr>
      </w:pPr>
    </w:p>
    <w:p w14:paraId="7DA13804" w14:textId="77777777" w:rsidR="00E24138" w:rsidRPr="00D92FD6" w:rsidRDefault="00E24138" w:rsidP="00AF5248">
      <w:pPr>
        <w:jc w:val="right"/>
        <w:rPr>
          <w:rFonts w:asciiTheme="majorHAnsi" w:hAnsiTheme="majorHAnsi" w:cstheme="majorHAnsi"/>
          <w:sz w:val="18"/>
          <w:szCs w:val="18"/>
        </w:rPr>
      </w:pPr>
    </w:p>
    <w:p w14:paraId="1ECE43CF" w14:textId="77777777" w:rsidR="00EB798E" w:rsidRPr="00D92FD6" w:rsidRDefault="00EB798E" w:rsidP="006250CC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3F472221" w14:textId="77777777" w:rsidR="007555C8" w:rsidRPr="00D92FD6" w:rsidRDefault="007555C8" w:rsidP="005C6655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274E5574" w14:textId="77777777" w:rsidR="007555C8" w:rsidRPr="00D92FD6" w:rsidRDefault="007555C8" w:rsidP="007555C8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7EB2E059" w14:textId="46F3152F" w:rsidR="00EB798E" w:rsidRPr="00D92FD6" w:rsidRDefault="00EB798E" w:rsidP="000F57F2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D92FD6">
        <w:rPr>
          <w:rFonts w:asciiTheme="majorHAnsi" w:hAnsiTheme="majorHAnsi" w:cstheme="majorHAnsi"/>
          <w:b/>
          <w:bCs/>
          <w:sz w:val="24"/>
          <w:szCs w:val="24"/>
        </w:rPr>
        <w:t>A</w:t>
      </w:r>
      <w:r w:rsidR="00570693" w:rsidRPr="00D92FD6">
        <w:rPr>
          <w:rFonts w:asciiTheme="majorHAnsi" w:hAnsiTheme="majorHAnsi" w:cstheme="majorHAnsi"/>
          <w:b/>
          <w:bCs/>
          <w:sz w:val="24"/>
          <w:szCs w:val="24"/>
        </w:rPr>
        <w:t>MOUNT</w:t>
      </w:r>
      <w:r w:rsidRPr="00D92FD6">
        <w:rPr>
          <w:rFonts w:asciiTheme="majorHAnsi" w:hAnsiTheme="majorHAnsi" w:cstheme="majorHAnsi"/>
          <w:b/>
          <w:bCs/>
          <w:sz w:val="24"/>
          <w:szCs w:val="24"/>
        </w:rPr>
        <w:t xml:space="preserve"> ARBITRAT</w:t>
      </w:r>
      <w:r w:rsidR="00570693" w:rsidRPr="00D92FD6">
        <w:rPr>
          <w:rFonts w:asciiTheme="majorHAnsi" w:hAnsiTheme="majorHAnsi" w:cstheme="majorHAnsi"/>
          <w:b/>
          <w:bCs/>
          <w:sz w:val="24"/>
          <w:szCs w:val="24"/>
        </w:rPr>
        <w:t>ION</w:t>
      </w:r>
    </w:p>
    <w:p w14:paraId="59094363" w14:textId="3C2ADB84" w:rsidR="00EB798E" w:rsidRPr="00D92FD6" w:rsidRDefault="00EB798E" w:rsidP="006250CC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D92FD6">
        <w:rPr>
          <w:noProof/>
        </w:rPr>
        <w:drawing>
          <wp:inline distT="0" distB="0" distL="0" distR="0" wp14:anchorId="533432AA" wp14:editId="3CC2E0A6">
            <wp:extent cx="7199630" cy="2587565"/>
            <wp:effectExtent l="0" t="0" r="1270" b="3810"/>
            <wp:docPr id="205700352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A2E23BAF-AF12-4708-C151-8B9CF1CC810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7C757F7" w14:textId="2B4AFCBE" w:rsidR="004040AA" w:rsidRPr="00D92FD6" w:rsidRDefault="004040AA" w:rsidP="006250CC">
      <w:pPr>
        <w:jc w:val="center"/>
        <w:rPr>
          <w:rFonts w:asciiTheme="majorHAnsi" w:hAnsiTheme="majorHAnsi" w:cstheme="majorHAnsi"/>
          <w:sz w:val="18"/>
          <w:szCs w:val="18"/>
        </w:rPr>
      </w:pPr>
      <w:r w:rsidRPr="00D92FD6">
        <w:rPr>
          <w:rFonts w:asciiTheme="majorHAnsi" w:hAnsiTheme="majorHAnsi" w:cstheme="majorHAnsi"/>
          <w:sz w:val="18"/>
          <w:szCs w:val="18"/>
        </w:rPr>
        <w:t>We highlight a maximum amount of €11,490,856.97 and a minimum amount of €6,300.00. In this regard, we can say that the TAB also caters for small-claim arbitrations by guaranteeing the arbitrator's fees as set out in the Solidarity Protocol between Arbitrators.</w:t>
      </w:r>
    </w:p>
    <w:p w14:paraId="53C83EFA" w14:textId="11B94125" w:rsidR="00004248" w:rsidRPr="00D92FD6" w:rsidRDefault="000F57F2" w:rsidP="00EB798E">
      <w:pPr>
        <w:jc w:val="center"/>
        <w:rPr>
          <w:rFonts w:asciiTheme="majorHAnsi" w:hAnsiTheme="majorHAnsi" w:cstheme="majorHAnsi"/>
          <w:sz w:val="18"/>
          <w:szCs w:val="18"/>
        </w:rPr>
      </w:pPr>
      <w:r w:rsidRPr="00D92FD6"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2AC89F49" wp14:editId="1288BDB7">
            <wp:simplePos x="0" y="0"/>
            <wp:positionH relativeFrom="column">
              <wp:posOffset>-88900</wp:posOffset>
            </wp:positionH>
            <wp:positionV relativeFrom="page">
              <wp:posOffset>383540</wp:posOffset>
            </wp:positionV>
            <wp:extent cx="3723640" cy="2580640"/>
            <wp:effectExtent l="0" t="0" r="0" b="0"/>
            <wp:wrapTight wrapText="bothSides">
              <wp:wrapPolygon edited="0">
                <wp:start x="0" y="0"/>
                <wp:lineTo x="0" y="21366"/>
                <wp:lineTo x="21438" y="21366"/>
                <wp:lineTo x="21438" y="0"/>
                <wp:lineTo x="0" y="0"/>
              </wp:wrapPolygon>
            </wp:wrapTight>
            <wp:docPr id="199472623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5408989-4357-3E23-7AE0-584F9F7CA49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40AA" w:rsidRPr="00D92FD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6509FD" wp14:editId="424F5EDF">
                <wp:simplePos x="0" y="0"/>
                <wp:positionH relativeFrom="margin">
                  <wp:posOffset>3007360</wp:posOffset>
                </wp:positionH>
                <wp:positionV relativeFrom="paragraph">
                  <wp:posOffset>74295</wp:posOffset>
                </wp:positionV>
                <wp:extent cx="666750" cy="1773555"/>
                <wp:effectExtent l="0" t="0" r="19050" b="17145"/>
                <wp:wrapNone/>
                <wp:docPr id="99870073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17735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0189BD" w14:textId="314A8409" w:rsidR="00814F2A" w:rsidRPr="00D92FD6" w:rsidRDefault="00814F2A" w:rsidP="00814F2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92FD6">
                              <w:rPr>
                                <w:sz w:val="16"/>
                                <w:szCs w:val="16"/>
                              </w:rPr>
                              <w:t>Up to 20.000</w:t>
                            </w:r>
                            <w:r w:rsidRPr="00D92FD6">
                              <w:rPr>
                                <w:rFonts w:ascii="Arial" w:hAnsi="Arial" w:cs="Arial"/>
                                <w:color w:val="0A0A0A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</w:t>
                            </w:r>
                            <w:r w:rsidRPr="00D92FD6">
                              <w:rPr>
                                <w:sz w:val="16"/>
                                <w:szCs w:val="16"/>
                              </w:rPr>
                              <w:t>€</w:t>
                            </w:r>
                          </w:p>
                          <w:p w14:paraId="2EE48C63" w14:textId="136CB799" w:rsidR="00814F2A" w:rsidRPr="00D92FD6" w:rsidRDefault="00814F2A" w:rsidP="00814F2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92FD6">
                              <w:rPr>
                                <w:sz w:val="16"/>
                                <w:szCs w:val="16"/>
                              </w:rPr>
                              <w:t>From 20.001</w:t>
                            </w:r>
                            <w:r w:rsidRPr="00D92FD6">
                              <w:rPr>
                                <w:rFonts w:ascii="Arial" w:hAnsi="Arial" w:cs="Arial"/>
                                <w:color w:val="0A0A0A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</w:t>
                            </w:r>
                            <w:r w:rsidRPr="00D92FD6">
                              <w:rPr>
                                <w:sz w:val="16"/>
                                <w:szCs w:val="16"/>
                              </w:rPr>
                              <w:t>€ to 600.000</w:t>
                            </w:r>
                            <w:r w:rsidRPr="00D92FD6">
                              <w:rPr>
                                <w:rFonts w:ascii="Arial" w:hAnsi="Arial" w:cs="Arial"/>
                                <w:color w:val="0A0A0A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</w:t>
                            </w:r>
                            <w:r w:rsidRPr="00D92FD6">
                              <w:rPr>
                                <w:sz w:val="16"/>
                                <w:szCs w:val="16"/>
                              </w:rPr>
                              <w:t>€</w:t>
                            </w:r>
                          </w:p>
                          <w:p w14:paraId="7D13DBF2" w14:textId="4F82446B" w:rsidR="00814F2A" w:rsidRPr="00D92FD6" w:rsidRDefault="00814F2A" w:rsidP="00814F2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92FD6">
                              <w:rPr>
                                <w:sz w:val="16"/>
                                <w:szCs w:val="16"/>
                              </w:rPr>
                              <w:t>From 600.001</w:t>
                            </w:r>
                            <w:r w:rsidRPr="00D92FD6">
                              <w:rPr>
                                <w:rFonts w:ascii="Arial" w:hAnsi="Arial" w:cs="Arial"/>
                                <w:color w:val="0A0A0A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</w:t>
                            </w:r>
                            <w:r w:rsidRPr="00D92FD6">
                              <w:rPr>
                                <w:sz w:val="16"/>
                                <w:szCs w:val="16"/>
                              </w:rPr>
                              <w:t>€ to 1500.000</w:t>
                            </w:r>
                            <w:r w:rsidRPr="00D92FD6">
                              <w:rPr>
                                <w:rFonts w:ascii="Arial" w:hAnsi="Arial" w:cs="Arial"/>
                                <w:color w:val="0A0A0A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</w:t>
                            </w:r>
                            <w:r w:rsidRPr="00D92FD6">
                              <w:rPr>
                                <w:sz w:val="16"/>
                                <w:szCs w:val="16"/>
                              </w:rPr>
                              <w:t>€</w:t>
                            </w:r>
                          </w:p>
                          <w:p w14:paraId="0AC36280" w14:textId="166256A0" w:rsidR="00814F2A" w:rsidRPr="00D92FD6" w:rsidRDefault="00814F2A" w:rsidP="00814F2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92FD6">
                              <w:rPr>
                                <w:sz w:val="16"/>
                                <w:szCs w:val="16"/>
                              </w:rPr>
                              <w:t>Above 1500.000</w:t>
                            </w:r>
                            <w:r w:rsidRPr="00D92FD6">
                              <w:rPr>
                                <w:rFonts w:ascii="Arial" w:hAnsi="Arial" w:cs="Arial"/>
                                <w:color w:val="0A0A0A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</w:t>
                            </w:r>
                            <w:r w:rsidRPr="00D92FD6">
                              <w:rPr>
                                <w:sz w:val="16"/>
                                <w:szCs w:val="16"/>
                              </w:rPr>
                              <w:t>€</w:t>
                            </w:r>
                          </w:p>
                          <w:p w14:paraId="56467936" w14:textId="77777777" w:rsidR="00814F2A" w:rsidRPr="00D92FD6" w:rsidRDefault="00814F2A" w:rsidP="00814F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6509FD" id="Rectángulo 1" o:spid="_x0000_s1026" style="position:absolute;left:0;text-align:left;margin-left:236.8pt;margin-top:5.85pt;width:52.5pt;height:139.6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" fillcolor="white [3201]" strokecolor="white [3212]" strokeweight="1pt">
                <v:textbox>
                  <w:txbxContent>
                    <w:p w14:paraId="760189BD" w14:textId="314A8409" w:rsidR="00814F2A" w:rsidRPr="00D92FD6" w:rsidRDefault="00814F2A" w:rsidP="00814F2A">
                      <w:pPr>
                        <w:rPr>
                          <w:sz w:val="16"/>
                          <w:szCs w:val="16"/>
                        </w:rPr>
                      </w:pPr>
                      <w:r w:rsidRPr="00D92FD6">
                        <w:rPr>
                          <w:sz w:val="16"/>
                          <w:szCs w:val="16"/>
                        </w:rPr>
                        <w:t>Up to 20.000</w:t>
                      </w:r>
                      <w:r w:rsidRPr="00D92FD6">
                        <w:rPr>
                          <w:rFonts w:ascii="Arial" w:hAnsi="Arial" w:cs="Arial"/>
                          <w:color w:val="0A0A0A"/>
                          <w:sz w:val="16"/>
                          <w:szCs w:val="16"/>
                          <w:shd w:val="clear" w:color="auto" w:fill="FFFFFF"/>
                        </w:rPr>
                        <w:t xml:space="preserve"> </w:t>
                      </w:r>
                      <w:r w:rsidRPr="00D92FD6">
                        <w:rPr>
                          <w:sz w:val="16"/>
                          <w:szCs w:val="16"/>
                        </w:rPr>
                        <w:t>€</w:t>
                      </w:r>
                    </w:p>
                    <w:p w14:paraId="2EE48C63" w14:textId="136CB799" w:rsidR="00814F2A" w:rsidRPr="00D92FD6" w:rsidRDefault="00814F2A" w:rsidP="00814F2A">
                      <w:pPr>
                        <w:rPr>
                          <w:sz w:val="16"/>
                          <w:szCs w:val="16"/>
                        </w:rPr>
                      </w:pPr>
                      <w:r w:rsidRPr="00D92FD6">
                        <w:rPr>
                          <w:sz w:val="16"/>
                          <w:szCs w:val="16"/>
                        </w:rPr>
                        <w:t>From 20.001</w:t>
                      </w:r>
                      <w:r w:rsidRPr="00D92FD6">
                        <w:rPr>
                          <w:rFonts w:ascii="Arial" w:hAnsi="Arial" w:cs="Arial"/>
                          <w:color w:val="0A0A0A"/>
                          <w:sz w:val="16"/>
                          <w:szCs w:val="16"/>
                          <w:shd w:val="clear" w:color="auto" w:fill="FFFFFF"/>
                        </w:rPr>
                        <w:t xml:space="preserve"> </w:t>
                      </w:r>
                      <w:r w:rsidRPr="00D92FD6">
                        <w:rPr>
                          <w:sz w:val="16"/>
                          <w:szCs w:val="16"/>
                        </w:rPr>
                        <w:t>€ to 600.000</w:t>
                      </w:r>
                      <w:r w:rsidRPr="00D92FD6">
                        <w:rPr>
                          <w:rFonts w:ascii="Arial" w:hAnsi="Arial" w:cs="Arial"/>
                          <w:color w:val="0A0A0A"/>
                          <w:sz w:val="16"/>
                          <w:szCs w:val="16"/>
                          <w:shd w:val="clear" w:color="auto" w:fill="FFFFFF"/>
                        </w:rPr>
                        <w:t xml:space="preserve"> </w:t>
                      </w:r>
                      <w:r w:rsidRPr="00D92FD6">
                        <w:rPr>
                          <w:sz w:val="16"/>
                          <w:szCs w:val="16"/>
                        </w:rPr>
                        <w:t>€</w:t>
                      </w:r>
                    </w:p>
                    <w:p w14:paraId="7D13DBF2" w14:textId="4F82446B" w:rsidR="00814F2A" w:rsidRPr="00D92FD6" w:rsidRDefault="00814F2A" w:rsidP="00814F2A">
                      <w:pPr>
                        <w:rPr>
                          <w:sz w:val="16"/>
                          <w:szCs w:val="16"/>
                        </w:rPr>
                      </w:pPr>
                      <w:r w:rsidRPr="00D92FD6">
                        <w:rPr>
                          <w:sz w:val="16"/>
                          <w:szCs w:val="16"/>
                        </w:rPr>
                        <w:t>From 600.001</w:t>
                      </w:r>
                      <w:r w:rsidRPr="00D92FD6">
                        <w:rPr>
                          <w:rFonts w:ascii="Arial" w:hAnsi="Arial" w:cs="Arial"/>
                          <w:color w:val="0A0A0A"/>
                          <w:sz w:val="16"/>
                          <w:szCs w:val="16"/>
                          <w:shd w:val="clear" w:color="auto" w:fill="FFFFFF"/>
                        </w:rPr>
                        <w:t xml:space="preserve"> </w:t>
                      </w:r>
                      <w:r w:rsidRPr="00D92FD6">
                        <w:rPr>
                          <w:sz w:val="16"/>
                          <w:szCs w:val="16"/>
                        </w:rPr>
                        <w:t>€ to 1500.000</w:t>
                      </w:r>
                      <w:r w:rsidRPr="00D92FD6">
                        <w:rPr>
                          <w:rFonts w:ascii="Arial" w:hAnsi="Arial" w:cs="Arial"/>
                          <w:color w:val="0A0A0A"/>
                          <w:sz w:val="16"/>
                          <w:szCs w:val="16"/>
                          <w:shd w:val="clear" w:color="auto" w:fill="FFFFFF"/>
                        </w:rPr>
                        <w:t xml:space="preserve"> </w:t>
                      </w:r>
                      <w:r w:rsidRPr="00D92FD6">
                        <w:rPr>
                          <w:sz w:val="16"/>
                          <w:szCs w:val="16"/>
                        </w:rPr>
                        <w:t>€</w:t>
                      </w:r>
                    </w:p>
                    <w:p w14:paraId="0AC36280" w14:textId="166256A0" w:rsidR="00814F2A" w:rsidRPr="00D92FD6" w:rsidRDefault="00814F2A" w:rsidP="00814F2A">
                      <w:pPr>
                        <w:rPr>
                          <w:sz w:val="16"/>
                          <w:szCs w:val="16"/>
                        </w:rPr>
                      </w:pPr>
                      <w:r w:rsidRPr="00D92FD6">
                        <w:rPr>
                          <w:sz w:val="16"/>
                          <w:szCs w:val="16"/>
                        </w:rPr>
                        <w:t>Above 1500.000</w:t>
                      </w:r>
                      <w:r w:rsidRPr="00D92FD6">
                        <w:rPr>
                          <w:rFonts w:ascii="Arial" w:hAnsi="Arial" w:cs="Arial"/>
                          <w:color w:val="0A0A0A"/>
                          <w:sz w:val="16"/>
                          <w:szCs w:val="16"/>
                          <w:shd w:val="clear" w:color="auto" w:fill="FFFFFF"/>
                        </w:rPr>
                        <w:t xml:space="preserve"> </w:t>
                      </w:r>
                      <w:r w:rsidRPr="00D92FD6">
                        <w:rPr>
                          <w:sz w:val="16"/>
                          <w:szCs w:val="16"/>
                        </w:rPr>
                        <w:t>€</w:t>
                      </w:r>
                    </w:p>
                    <w:p w14:paraId="56467936" w14:textId="77777777" w:rsidR="00814F2A" w:rsidRPr="00D92FD6" w:rsidRDefault="00814F2A" w:rsidP="00814F2A"/>
                  </w:txbxContent>
                </v:textbox>
                <w10:wrap anchorx="margin"/>
              </v:rect>
            </w:pict>
          </mc:Fallback>
        </mc:AlternateContent>
      </w:r>
      <w:r w:rsidR="00814F2A" w:rsidRPr="00D92FD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225872" wp14:editId="4CB99E02">
                <wp:simplePos x="0" y="0"/>
                <wp:positionH relativeFrom="column">
                  <wp:posOffset>3023703</wp:posOffset>
                </wp:positionH>
                <wp:positionV relativeFrom="paragraph">
                  <wp:posOffset>171953</wp:posOffset>
                </wp:positionV>
                <wp:extent cx="45719" cy="45719"/>
                <wp:effectExtent l="0" t="0" r="12065" b="12065"/>
                <wp:wrapNone/>
                <wp:docPr id="1883398165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C5E166" id="Rectángulo 2" o:spid="_x0000_s1026" style="position:absolute;margin-left:238.1pt;margin-top:13.55pt;width:3.6pt;height:3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" fillcolor="#c5e0b3 [1305]" strokecolor="#c5e0b3 [1305]" strokeweight="1pt"/>
            </w:pict>
          </mc:Fallback>
        </mc:AlternateContent>
      </w:r>
    </w:p>
    <w:p w14:paraId="5A913CBD" w14:textId="77777777" w:rsidR="004040AA" w:rsidRPr="00D92FD6" w:rsidRDefault="004040AA" w:rsidP="004040AA">
      <w:pPr>
        <w:spacing w:after="0"/>
        <w:jc w:val="center"/>
        <w:rPr>
          <w:rFonts w:asciiTheme="majorHAnsi" w:hAnsiTheme="majorHAnsi" w:cstheme="majorHAnsi"/>
          <w:sz w:val="18"/>
          <w:szCs w:val="18"/>
        </w:rPr>
      </w:pPr>
      <w:r w:rsidRPr="00D92FD6">
        <w:rPr>
          <w:rFonts w:asciiTheme="majorHAnsi" w:hAnsiTheme="majorHAnsi" w:cstheme="majorHAnsi"/>
          <w:sz w:val="18"/>
          <w:szCs w:val="18"/>
        </w:rPr>
        <w:t>Regarding the value bands, the bracket from €20,001 to €600,001 accounts for half of the value of the cases handled this year.</w:t>
      </w:r>
    </w:p>
    <w:p w14:paraId="3F1DB29E" w14:textId="6B42ACA4" w:rsidR="00EB798E" w:rsidRPr="00D92FD6" w:rsidRDefault="004040AA" w:rsidP="004040AA">
      <w:pPr>
        <w:spacing w:after="0"/>
        <w:jc w:val="center"/>
        <w:rPr>
          <w:rFonts w:asciiTheme="majorHAnsi" w:hAnsiTheme="majorHAnsi" w:cstheme="majorHAnsi"/>
          <w:sz w:val="18"/>
          <w:szCs w:val="18"/>
        </w:rPr>
      </w:pPr>
      <w:r w:rsidRPr="00D92FD6">
        <w:rPr>
          <w:rFonts w:asciiTheme="majorHAnsi" w:hAnsiTheme="majorHAnsi" w:cstheme="majorHAnsi"/>
          <w:sz w:val="18"/>
          <w:szCs w:val="18"/>
        </w:rPr>
        <w:t>We note the increase in the band above €1,500,000, which has grown this year compared to last.</w:t>
      </w:r>
    </w:p>
    <w:p w14:paraId="1004A9E3" w14:textId="6532E249" w:rsidR="00570693" w:rsidRPr="00D92FD6" w:rsidRDefault="00570693" w:rsidP="00570693">
      <w:pPr>
        <w:spacing w:after="0"/>
        <w:jc w:val="center"/>
        <w:rPr>
          <w:rFonts w:asciiTheme="majorHAnsi" w:hAnsiTheme="majorHAnsi" w:cstheme="majorHAnsi"/>
          <w:sz w:val="18"/>
          <w:szCs w:val="18"/>
        </w:rPr>
      </w:pPr>
    </w:p>
    <w:p w14:paraId="091C948F" w14:textId="6C1FFEE1" w:rsidR="00570693" w:rsidRPr="00D92FD6" w:rsidRDefault="00814F2A" w:rsidP="00570693">
      <w:pPr>
        <w:spacing w:after="0"/>
        <w:jc w:val="center"/>
        <w:rPr>
          <w:rFonts w:asciiTheme="majorHAnsi" w:hAnsiTheme="majorHAnsi" w:cstheme="majorHAnsi"/>
          <w:sz w:val="18"/>
          <w:szCs w:val="18"/>
        </w:rPr>
      </w:pPr>
      <w:r w:rsidRPr="00D92FD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B12EBE" wp14:editId="2C45C678">
                <wp:simplePos x="0" y="0"/>
                <wp:positionH relativeFrom="column">
                  <wp:posOffset>3018553</wp:posOffset>
                </wp:positionH>
                <wp:positionV relativeFrom="paragraph">
                  <wp:posOffset>4619</wp:posOffset>
                </wp:positionV>
                <wp:extent cx="45719" cy="45719"/>
                <wp:effectExtent l="0" t="0" r="12065" b="12065"/>
                <wp:wrapNone/>
                <wp:docPr id="847599967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D7E4C8" id="Rectángulo 2" o:spid="_x0000_s1026" style="position:absolute;margin-left:237.7pt;margin-top:.35pt;width:3.6pt;height:3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" fillcolor="#c5e0b3 [1305]" strokecolor="#c5e0b3 [1305]" strokeweight="1pt"/>
            </w:pict>
          </mc:Fallback>
        </mc:AlternateContent>
      </w:r>
    </w:p>
    <w:p w14:paraId="335CC0EF" w14:textId="47A916BE" w:rsidR="00570693" w:rsidRPr="00D92FD6" w:rsidRDefault="00570693" w:rsidP="00570693">
      <w:pPr>
        <w:spacing w:after="0"/>
        <w:jc w:val="center"/>
        <w:rPr>
          <w:rFonts w:asciiTheme="majorHAnsi" w:hAnsiTheme="majorHAnsi" w:cstheme="majorHAnsi"/>
          <w:sz w:val="18"/>
          <w:szCs w:val="18"/>
        </w:rPr>
      </w:pPr>
    </w:p>
    <w:p w14:paraId="43B3E125" w14:textId="77777777" w:rsidR="00570693" w:rsidRPr="00D92FD6" w:rsidRDefault="00570693" w:rsidP="00570693">
      <w:pPr>
        <w:spacing w:after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15A25C70" w14:textId="416ED71D" w:rsidR="00F028E3" w:rsidRPr="00D92FD6" w:rsidRDefault="00F028E3" w:rsidP="00AF5248">
      <w:pPr>
        <w:jc w:val="right"/>
        <w:rPr>
          <w:rFonts w:asciiTheme="majorHAnsi" w:hAnsiTheme="majorHAnsi" w:cstheme="majorHAnsi"/>
          <w:sz w:val="18"/>
          <w:szCs w:val="18"/>
        </w:rPr>
      </w:pPr>
    </w:p>
    <w:p w14:paraId="58C32924" w14:textId="77777777" w:rsidR="0025621C" w:rsidRPr="00D92FD6" w:rsidRDefault="0025621C" w:rsidP="0025621C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3BD984F7" w14:textId="02A0E173" w:rsidR="005C6655" w:rsidRPr="00D92FD6" w:rsidRDefault="00814F2A" w:rsidP="000F57F2">
      <w:pPr>
        <w:tabs>
          <w:tab w:val="left" w:pos="4395"/>
        </w:tabs>
        <w:rPr>
          <w:rFonts w:asciiTheme="majorHAnsi" w:hAnsiTheme="majorHAnsi" w:cstheme="majorHAnsi"/>
          <w:b/>
          <w:bCs/>
          <w:sz w:val="24"/>
          <w:szCs w:val="24"/>
        </w:rPr>
      </w:pPr>
      <w:r w:rsidRPr="00D92FD6">
        <w:rPr>
          <w:rFonts w:asciiTheme="majorHAnsi" w:hAnsiTheme="majorHAnsi" w:cstheme="majorHAnsi"/>
          <w:b/>
          <w:bCs/>
          <w:sz w:val="24"/>
          <w:szCs w:val="24"/>
        </w:rPr>
        <w:t>DURATION OF ARBITRATION</w:t>
      </w:r>
      <w:r w:rsidR="005C6655" w:rsidRPr="00D92FD6">
        <w:rPr>
          <w:rStyle w:val="Refdenotaalpie"/>
          <w:rFonts w:asciiTheme="majorHAnsi" w:hAnsiTheme="majorHAnsi" w:cstheme="majorHAnsi"/>
          <w:b/>
          <w:bCs/>
          <w:sz w:val="24"/>
          <w:szCs w:val="24"/>
        </w:rPr>
        <w:footnoteReference w:id="1"/>
      </w:r>
    </w:p>
    <w:p w14:paraId="757ACA90" w14:textId="0DD01421" w:rsidR="00EB798E" w:rsidRPr="00D92FD6" w:rsidRDefault="003B0036" w:rsidP="00F4654F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D92FD6">
        <w:rPr>
          <w:noProof/>
        </w:rPr>
        <w:drawing>
          <wp:anchor distT="0" distB="0" distL="114300" distR="114300" simplePos="0" relativeHeight="251665408" behindDoc="1" locked="0" layoutInCell="1" allowOverlap="1" wp14:anchorId="7033D4BE" wp14:editId="246B5C21">
            <wp:simplePos x="0" y="0"/>
            <wp:positionH relativeFrom="margin">
              <wp:posOffset>943610</wp:posOffset>
            </wp:positionH>
            <wp:positionV relativeFrom="page">
              <wp:posOffset>3038475</wp:posOffset>
            </wp:positionV>
            <wp:extent cx="5433695" cy="1895475"/>
            <wp:effectExtent l="0" t="0" r="0" b="0"/>
            <wp:wrapTight wrapText="bothSides">
              <wp:wrapPolygon edited="0">
                <wp:start x="0" y="0"/>
                <wp:lineTo x="0" y="21274"/>
                <wp:lineTo x="21507" y="21274"/>
                <wp:lineTo x="21507" y="0"/>
                <wp:lineTo x="0" y="0"/>
              </wp:wrapPolygon>
            </wp:wrapTight>
            <wp:docPr id="51430003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E992E5F4-289A-408F-D0B9-D6F376193DE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DA5604" w14:textId="3B22380A" w:rsidR="00004248" w:rsidRPr="00D92FD6" w:rsidRDefault="00004248" w:rsidP="00F4654F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5830A8E9" w14:textId="4827BB7B" w:rsidR="00004248" w:rsidRPr="00D92FD6" w:rsidRDefault="00004248" w:rsidP="00F4654F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1668903A" w14:textId="77777777" w:rsidR="00004248" w:rsidRPr="00D92FD6" w:rsidRDefault="00004248" w:rsidP="00F4654F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75E22872" w14:textId="77777777" w:rsidR="005C6655" w:rsidRPr="00D92FD6" w:rsidRDefault="005C6655" w:rsidP="00D373C2">
      <w:pPr>
        <w:rPr>
          <w:rFonts w:asciiTheme="majorHAnsi" w:hAnsiTheme="majorHAnsi" w:cstheme="majorHAnsi"/>
          <w:sz w:val="18"/>
          <w:szCs w:val="18"/>
        </w:rPr>
      </w:pPr>
    </w:p>
    <w:p w14:paraId="12EE5DD9" w14:textId="77777777" w:rsidR="00124E17" w:rsidRDefault="00124E17" w:rsidP="002D6768">
      <w:pPr>
        <w:jc w:val="center"/>
        <w:rPr>
          <w:rFonts w:asciiTheme="majorHAnsi" w:hAnsiTheme="majorHAnsi" w:cstheme="majorHAnsi"/>
          <w:sz w:val="18"/>
          <w:szCs w:val="18"/>
        </w:rPr>
      </w:pPr>
    </w:p>
    <w:p w14:paraId="6C247FAE" w14:textId="77777777" w:rsidR="00124E17" w:rsidRDefault="00124E17" w:rsidP="002D6768">
      <w:pPr>
        <w:jc w:val="center"/>
        <w:rPr>
          <w:rFonts w:asciiTheme="majorHAnsi" w:hAnsiTheme="majorHAnsi" w:cstheme="majorHAnsi"/>
          <w:sz w:val="18"/>
          <w:szCs w:val="18"/>
        </w:rPr>
      </w:pPr>
    </w:p>
    <w:p w14:paraId="461D58F5" w14:textId="5D93049A" w:rsidR="00FF4903" w:rsidRPr="00D92FD6" w:rsidRDefault="00D373C2" w:rsidP="002D6768">
      <w:pPr>
        <w:jc w:val="center"/>
        <w:rPr>
          <w:rFonts w:asciiTheme="majorHAnsi" w:hAnsiTheme="majorHAnsi" w:cstheme="majorHAnsi"/>
          <w:sz w:val="18"/>
          <w:szCs w:val="18"/>
        </w:rPr>
      </w:pPr>
      <w:r w:rsidRPr="00D92FD6">
        <w:rPr>
          <w:rFonts w:asciiTheme="majorHAnsi" w:hAnsiTheme="majorHAnsi" w:cstheme="majorHAnsi"/>
          <w:sz w:val="18"/>
          <w:szCs w:val="18"/>
        </w:rPr>
        <w:t xml:space="preserve">The median duration of arbitration proceedings rendered this year was </w:t>
      </w:r>
      <w:r w:rsidR="00A958B2" w:rsidRPr="00D92FD6">
        <w:rPr>
          <w:rFonts w:asciiTheme="majorHAnsi" w:hAnsiTheme="majorHAnsi" w:cstheme="majorHAnsi"/>
          <w:b/>
          <w:bCs/>
          <w:sz w:val="28"/>
          <w:szCs w:val="28"/>
        </w:rPr>
        <w:t>10,7</w:t>
      </w:r>
      <w:r w:rsidR="00A958B2" w:rsidRPr="00D92FD6">
        <w:rPr>
          <w:rFonts w:asciiTheme="majorHAnsi" w:hAnsiTheme="majorHAnsi" w:cstheme="majorHAnsi"/>
          <w:sz w:val="18"/>
          <w:szCs w:val="18"/>
        </w:rPr>
        <w:t xml:space="preserve"> </w:t>
      </w:r>
      <w:r w:rsidR="002D6768" w:rsidRPr="00D92FD6">
        <w:rPr>
          <w:rFonts w:asciiTheme="majorHAnsi" w:hAnsiTheme="majorHAnsi" w:cstheme="majorHAnsi"/>
          <w:sz w:val="18"/>
          <w:szCs w:val="18"/>
          <w:u w:val="single"/>
        </w:rPr>
        <w:t>m</w:t>
      </w:r>
      <w:r w:rsidRPr="00D92FD6">
        <w:rPr>
          <w:rFonts w:asciiTheme="majorHAnsi" w:hAnsiTheme="majorHAnsi" w:cstheme="majorHAnsi"/>
          <w:sz w:val="18"/>
          <w:szCs w:val="18"/>
          <w:u w:val="single"/>
        </w:rPr>
        <w:t>onths</w:t>
      </w:r>
      <w:r w:rsidR="00082211" w:rsidRPr="00D92FD6">
        <w:rPr>
          <w:rFonts w:asciiTheme="majorHAnsi" w:hAnsiTheme="majorHAnsi" w:cstheme="majorHAnsi"/>
          <w:sz w:val="18"/>
          <w:szCs w:val="18"/>
        </w:rPr>
        <w:t>.</w:t>
      </w:r>
      <w:r w:rsidR="002D6768" w:rsidRPr="00D92FD6">
        <w:rPr>
          <w:rFonts w:asciiTheme="majorHAnsi" w:hAnsiTheme="majorHAnsi" w:cstheme="majorHAnsi"/>
          <w:sz w:val="18"/>
          <w:szCs w:val="18"/>
        </w:rPr>
        <w:t xml:space="preserve"> </w:t>
      </w:r>
    </w:p>
    <w:p w14:paraId="3048FF81" w14:textId="01DF70A2" w:rsidR="00F4654F" w:rsidRPr="00D92FD6" w:rsidRDefault="00F4654F" w:rsidP="003D29F9">
      <w:pPr>
        <w:ind w:firstLine="708"/>
        <w:rPr>
          <w:rFonts w:asciiTheme="majorHAnsi" w:hAnsiTheme="majorHAnsi" w:cstheme="majorHAnsi"/>
          <w:b/>
          <w:bCs/>
        </w:rPr>
      </w:pPr>
      <w:r w:rsidRPr="00D92FD6">
        <w:rPr>
          <w:rFonts w:asciiTheme="majorHAnsi" w:hAnsiTheme="majorHAnsi" w:cstheme="majorHAnsi"/>
          <w:b/>
          <w:bCs/>
        </w:rPr>
        <w:t xml:space="preserve"> </w:t>
      </w:r>
      <w:r w:rsidR="00D373C2" w:rsidRPr="00D92FD6">
        <w:rPr>
          <w:rFonts w:asciiTheme="majorHAnsi" w:hAnsiTheme="majorHAnsi" w:cstheme="majorHAnsi"/>
          <w:b/>
          <w:bCs/>
        </w:rPr>
        <w:t xml:space="preserve">             </w:t>
      </w:r>
      <w:r w:rsidRPr="00D92FD6">
        <w:rPr>
          <w:rFonts w:asciiTheme="majorHAnsi" w:hAnsiTheme="majorHAnsi" w:cstheme="majorHAnsi"/>
          <w:b/>
          <w:bCs/>
        </w:rPr>
        <w:t>ORDINAR</w:t>
      </w:r>
      <w:r w:rsidR="00D373C2" w:rsidRPr="00D92FD6">
        <w:rPr>
          <w:rFonts w:asciiTheme="majorHAnsi" w:hAnsiTheme="majorHAnsi" w:cstheme="majorHAnsi"/>
          <w:b/>
          <w:bCs/>
        </w:rPr>
        <w:t>Y PROCEDURE</w:t>
      </w:r>
      <w:r w:rsidRPr="00D92FD6">
        <w:rPr>
          <w:rFonts w:asciiTheme="majorHAnsi" w:hAnsiTheme="majorHAnsi" w:cstheme="majorHAnsi"/>
          <w:b/>
          <w:bCs/>
        </w:rPr>
        <w:tab/>
      </w:r>
      <w:r w:rsidRPr="00D92FD6">
        <w:rPr>
          <w:rFonts w:asciiTheme="majorHAnsi" w:hAnsiTheme="majorHAnsi" w:cstheme="majorHAnsi"/>
          <w:b/>
          <w:bCs/>
        </w:rPr>
        <w:tab/>
      </w:r>
      <w:r w:rsidRPr="00D92FD6">
        <w:rPr>
          <w:rFonts w:asciiTheme="majorHAnsi" w:hAnsiTheme="majorHAnsi" w:cstheme="majorHAnsi"/>
          <w:b/>
          <w:bCs/>
        </w:rPr>
        <w:tab/>
      </w:r>
      <w:r w:rsidRPr="00D92FD6">
        <w:rPr>
          <w:rFonts w:asciiTheme="majorHAnsi" w:hAnsiTheme="majorHAnsi" w:cstheme="majorHAnsi"/>
          <w:b/>
          <w:bCs/>
        </w:rPr>
        <w:tab/>
      </w:r>
      <w:r w:rsidRPr="00D92FD6">
        <w:rPr>
          <w:rFonts w:asciiTheme="majorHAnsi" w:hAnsiTheme="majorHAnsi" w:cstheme="majorHAnsi"/>
          <w:b/>
          <w:bCs/>
        </w:rPr>
        <w:tab/>
      </w:r>
      <w:r w:rsidR="00D373C2" w:rsidRPr="00D92FD6">
        <w:rPr>
          <w:rFonts w:asciiTheme="majorHAnsi" w:hAnsiTheme="majorHAnsi" w:cstheme="majorHAnsi"/>
          <w:b/>
          <w:bCs/>
        </w:rPr>
        <w:t xml:space="preserve">            </w:t>
      </w:r>
      <w:r w:rsidR="003B0036" w:rsidRPr="00D92FD6">
        <w:rPr>
          <w:rFonts w:asciiTheme="majorHAnsi" w:hAnsiTheme="majorHAnsi" w:cstheme="majorHAnsi"/>
          <w:b/>
          <w:bCs/>
        </w:rPr>
        <w:t>SUMMARY</w:t>
      </w:r>
      <w:r w:rsidR="00D373C2" w:rsidRPr="00D92FD6">
        <w:rPr>
          <w:rFonts w:asciiTheme="majorHAnsi" w:hAnsiTheme="majorHAnsi" w:cstheme="majorHAnsi"/>
          <w:b/>
          <w:bCs/>
        </w:rPr>
        <w:t xml:space="preserve"> </w:t>
      </w:r>
      <w:r w:rsidRPr="00D92FD6">
        <w:rPr>
          <w:rFonts w:asciiTheme="majorHAnsi" w:hAnsiTheme="majorHAnsi" w:cstheme="majorHAnsi"/>
          <w:b/>
          <w:bCs/>
        </w:rPr>
        <w:t>PRO</w:t>
      </w:r>
      <w:r w:rsidR="00D373C2" w:rsidRPr="00D92FD6">
        <w:rPr>
          <w:rFonts w:asciiTheme="majorHAnsi" w:hAnsiTheme="majorHAnsi" w:cstheme="majorHAnsi"/>
          <w:b/>
          <w:bCs/>
        </w:rPr>
        <w:t>CEDURE</w:t>
      </w:r>
    </w:p>
    <w:p w14:paraId="711CA8B2" w14:textId="77777777" w:rsidR="003B0036" w:rsidRPr="00D92FD6" w:rsidRDefault="001A4BF5" w:rsidP="002A3F8E">
      <w:pPr>
        <w:jc w:val="center"/>
        <w:rPr>
          <w:rFonts w:asciiTheme="majorHAnsi" w:hAnsiTheme="majorHAnsi" w:cstheme="majorHAnsi"/>
          <w:sz w:val="18"/>
          <w:szCs w:val="18"/>
        </w:rPr>
      </w:pPr>
      <w:r w:rsidRPr="00D92FD6">
        <w:rPr>
          <w:noProof/>
        </w:rPr>
        <w:drawing>
          <wp:inline distT="0" distB="0" distL="0" distR="0" wp14:anchorId="2B6F1148" wp14:editId="7658D3F5">
            <wp:extent cx="3390900" cy="1552575"/>
            <wp:effectExtent l="0" t="0" r="0" b="0"/>
            <wp:docPr id="205250996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EBE44D12-01CE-B2EA-91EA-CC8A7D17069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Pr="00D92FD6">
        <w:rPr>
          <w:noProof/>
        </w:rPr>
        <w:drawing>
          <wp:inline distT="0" distB="0" distL="0" distR="0" wp14:anchorId="4FD033C2" wp14:editId="01205A21">
            <wp:extent cx="3505200" cy="1485900"/>
            <wp:effectExtent l="0" t="0" r="0" b="0"/>
            <wp:docPr id="26645127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EA249962-B357-8DC6-9144-E08DB15764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FF1D721" w14:textId="4A4C5677" w:rsidR="00F4654F" w:rsidRPr="00D92FD6" w:rsidRDefault="00124E17" w:rsidP="002A3F8E">
      <w:pPr>
        <w:jc w:val="center"/>
        <w:rPr>
          <w:rFonts w:asciiTheme="majorHAnsi" w:hAnsiTheme="majorHAnsi" w:cstheme="majorHAnsi"/>
          <w:sz w:val="18"/>
          <w:szCs w:val="18"/>
        </w:rPr>
      </w:pPr>
      <w:r w:rsidRPr="00D92FD6">
        <w:rPr>
          <w:noProof/>
        </w:rPr>
        <w:drawing>
          <wp:anchor distT="0" distB="0" distL="114300" distR="114300" simplePos="0" relativeHeight="251667456" behindDoc="1" locked="0" layoutInCell="1" allowOverlap="1" wp14:anchorId="2B30C64D" wp14:editId="2162180D">
            <wp:simplePos x="0" y="0"/>
            <wp:positionH relativeFrom="column">
              <wp:posOffset>3877310</wp:posOffset>
            </wp:positionH>
            <wp:positionV relativeFrom="page">
              <wp:posOffset>7604125</wp:posOffset>
            </wp:positionV>
            <wp:extent cx="3346450" cy="2419350"/>
            <wp:effectExtent l="0" t="0" r="6350" b="0"/>
            <wp:wrapTight wrapText="bothSides">
              <wp:wrapPolygon edited="0">
                <wp:start x="0" y="0"/>
                <wp:lineTo x="0" y="21430"/>
                <wp:lineTo x="21518" y="21430"/>
                <wp:lineTo x="21518" y="0"/>
                <wp:lineTo x="0" y="0"/>
              </wp:wrapPolygon>
            </wp:wrapTight>
            <wp:docPr id="66862461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F68AC06-FEAE-4EB9-0AB7-29EFA1E546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3F8E" w:rsidRPr="00D92FD6">
        <w:rPr>
          <w:rFonts w:asciiTheme="majorHAnsi" w:hAnsiTheme="majorHAnsi" w:cstheme="majorHAnsi"/>
          <w:sz w:val="18"/>
          <w:szCs w:val="18"/>
        </w:rPr>
        <w:t xml:space="preserve">In line with the total duration of the procedures, the </w:t>
      </w:r>
      <w:r w:rsidR="002A3F8E" w:rsidRPr="00D92FD6">
        <w:rPr>
          <w:rFonts w:asciiTheme="majorHAnsi" w:hAnsiTheme="majorHAnsi" w:cstheme="majorHAnsi"/>
          <w:b/>
          <w:bCs/>
          <w:sz w:val="18"/>
          <w:szCs w:val="18"/>
        </w:rPr>
        <w:t>summary procedure</w:t>
      </w:r>
      <w:r w:rsidR="002A3F8E" w:rsidRPr="00D92FD6">
        <w:rPr>
          <w:rFonts w:asciiTheme="majorHAnsi" w:hAnsiTheme="majorHAnsi" w:cstheme="majorHAnsi"/>
          <w:sz w:val="18"/>
          <w:szCs w:val="18"/>
        </w:rPr>
        <w:t xml:space="preserve"> </w:t>
      </w:r>
      <w:r w:rsidR="003B0036" w:rsidRPr="00D92FD6">
        <w:rPr>
          <w:rFonts w:asciiTheme="majorHAnsi" w:hAnsiTheme="majorHAnsi" w:cstheme="majorHAnsi"/>
          <w:sz w:val="18"/>
          <w:szCs w:val="18"/>
        </w:rPr>
        <w:t>took</w:t>
      </w:r>
      <w:r w:rsidR="002A3F8E" w:rsidRPr="00D92FD6">
        <w:rPr>
          <w:rFonts w:asciiTheme="majorHAnsi" w:hAnsiTheme="majorHAnsi" w:cstheme="majorHAnsi"/>
          <w:sz w:val="18"/>
          <w:szCs w:val="18"/>
        </w:rPr>
        <w:t xml:space="preserve"> a total duration of 8.3 months, which is shorter compared to last year</w:t>
      </w:r>
      <w:r w:rsidR="003B0036" w:rsidRPr="00D92FD6">
        <w:rPr>
          <w:rFonts w:asciiTheme="majorHAnsi" w:hAnsiTheme="majorHAnsi" w:cstheme="majorHAnsi"/>
          <w:sz w:val="18"/>
          <w:szCs w:val="18"/>
        </w:rPr>
        <w:t>, meanwhile</w:t>
      </w:r>
      <w:r w:rsidR="002A3F8E" w:rsidRPr="00D92FD6">
        <w:rPr>
          <w:rFonts w:asciiTheme="majorHAnsi" w:hAnsiTheme="majorHAnsi" w:cstheme="majorHAnsi"/>
          <w:sz w:val="18"/>
          <w:szCs w:val="18"/>
        </w:rPr>
        <w:t xml:space="preserve"> the </w:t>
      </w:r>
      <w:r w:rsidR="002A3F8E" w:rsidRPr="00D92FD6">
        <w:rPr>
          <w:rFonts w:asciiTheme="majorHAnsi" w:hAnsiTheme="majorHAnsi" w:cstheme="majorHAnsi"/>
          <w:b/>
          <w:bCs/>
          <w:sz w:val="18"/>
          <w:szCs w:val="18"/>
        </w:rPr>
        <w:t>ordinary procedure</w:t>
      </w:r>
      <w:r w:rsidR="002A3F8E" w:rsidRPr="00D92FD6">
        <w:rPr>
          <w:rFonts w:asciiTheme="majorHAnsi" w:hAnsiTheme="majorHAnsi" w:cstheme="majorHAnsi"/>
          <w:sz w:val="18"/>
          <w:szCs w:val="18"/>
        </w:rPr>
        <w:t xml:space="preserve">, </w:t>
      </w:r>
      <w:r w:rsidR="003B0036" w:rsidRPr="00D92FD6">
        <w:rPr>
          <w:rFonts w:asciiTheme="majorHAnsi" w:hAnsiTheme="majorHAnsi" w:cstheme="majorHAnsi"/>
          <w:sz w:val="18"/>
          <w:szCs w:val="18"/>
        </w:rPr>
        <w:t>remained</w:t>
      </w:r>
      <w:r w:rsidR="002A3F8E" w:rsidRPr="00D92FD6">
        <w:rPr>
          <w:rFonts w:asciiTheme="majorHAnsi" w:hAnsiTheme="majorHAnsi" w:cstheme="majorHAnsi"/>
          <w:sz w:val="18"/>
          <w:szCs w:val="18"/>
        </w:rPr>
        <w:t xml:space="preserve"> the same, although the time corresponding to the </w:t>
      </w:r>
      <w:r w:rsidR="002A3F8E" w:rsidRPr="00D92FD6">
        <w:rPr>
          <w:rFonts w:asciiTheme="majorHAnsi" w:hAnsiTheme="majorHAnsi" w:cstheme="majorHAnsi"/>
          <w:b/>
          <w:bCs/>
          <w:sz w:val="18"/>
          <w:szCs w:val="18"/>
        </w:rPr>
        <w:t>pre-arbitration stage</w:t>
      </w:r>
      <w:r w:rsidR="002A3F8E" w:rsidRPr="00D92FD6">
        <w:rPr>
          <w:rFonts w:asciiTheme="majorHAnsi" w:hAnsiTheme="majorHAnsi" w:cstheme="majorHAnsi"/>
          <w:sz w:val="18"/>
          <w:szCs w:val="18"/>
        </w:rPr>
        <w:t xml:space="preserve"> has decreased.</w:t>
      </w:r>
    </w:p>
    <w:p w14:paraId="39954A8C" w14:textId="5C8736C0" w:rsidR="001A4BF5" w:rsidRPr="00D92FD6" w:rsidRDefault="001A4BF5" w:rsidP="00AF5248">
      <w:pPr>
        <w:jc w:val="right"/>
        <w:rPr>
          <w:rFonts w:asciiTheme="majorHAnsi" w:hAnsiTheme="majorHAnsi" w:cstheme="majorHAnsi"/>
          <w:sz w:val="18"/>
          <w:szCs w:val="18"/>
        </w:rPr>
      </w:pPr>
    </w:p>
    <w:p w14:paraId="3F374564" w14:textId="25F97D27" w:rsidR="00F64537" w:rsidRPr="00D92FD6" w:rsidRDefault="00F64537" w:rsidP="00F64537">
      <w:pPr>
        <w:jc w:val="right"/>
        <w:rPr>
          <w:rFonts w:asciiTheme="majorHAnsi" w:hAnsiTheme="majorHAnsi" w:cstheme="majorHAnsi"/>
          <w:sz w:val="18"/>
          <w:szCs w:val="18"/>
        </w:rPr>
      </w:pPr>
    </w:p>
    <w:p w14:paraId="04482FBB" w14:textId="356A104A" w:rsidR="002A3F8E" w:rsidRPr="00D92FD6" w:rsidRDefault="002A3F8E" w:rsidP="002A3F8E">
      <w:pPr>
        <w:jc w:val="center"/>
        <w:rPr>
          <w:rFonts w:asciiTheme="majorHAnsi" w:hAnsiTheme="majorHAnsi" w:cstheme="majorHAnsi"/>
          <w:sz w:val="18"/>
          <w:szCs w:val="18"/>
        </w:rPr>
      </w:pPr>
      <w:r w:rsidRPr="00D92FD6">
        <w:rPr>
          <w:rFonts w:asciiTheme="majorHAnsi" w:hAnsiTheme="majorHAnsi" w:cstheme="majorHAnsi"/>
          <w:sz w:val="18"/>
          <w:szCs w:val="18"/>
        </w:rPr>
        <w:t>This year, voluntary compliance with awards amounts to 75% of all awards.</w:t>
      </w:r>
    </w:p>
    <w:p w14:paraId="3E471EE9" w14:textId="0016B6B6" w:rsidR="001A4BF5" w:rsidRPr="003B0036" w:rsidRDefault="002A3F8E" w:rsidP="002A3F8E">
      <w:pPr>
        <w:jc w:val="center"/>
        <w:rPr>
          <w:rFonts w:asciiTheme="majorHAnsi" w:hAnsiTheme="majorHAnsi" w:cstheme="majorHAnsi"/>
          <w:sz w:val="18"/>
          <w:szCs w:val="18"/>
        </w:rPr>
      </w:pPr>
      <w:r w:rsidRPr="00D92FD6">
        <w:rPr>
          <w:rFonts w:asciiTheme="majorHAnsi" w:hAnsiTheme="majorHAnsi" w:cstheme="majorHAnsi"/>
          <w:sz w:val="18"/>
          <w:szCs w:val="18"/>
        </w:rPr>
        <w:t xml:space="preserve">Awards challenged before the TSJ of Catalonia account for 8%, a percentage very similar to that of 2023, although over the past three years there have been no nullifications of challenged </w:t>
      </w:r>
      <w:r w:rsidR="00124E17" w:rsidRPr="00D92FD6">
        <w:rPr>
          <w:rFonts w:asciiTheme="majorHAnsi" w:hAnsiTheme="majorHAnsi" w:cstheme="majorHAnsi"/>
          <w:sz w:val="18"/>
          <w:szCs w:val="18"/>
        </w:rPr>
        <w:t>awards</w:t>
      </w:r>
      <w:r w:rsidRPr="00D92FD6">
        <w:rPr>
          <w:rFonts w:asciiTheme="majorHAnsi" w:hAnsiTheme="majorHAnsi" w:cstheme="majorHAnsi"/>
          <w:sz w:val="18"/>
          <w:szCs w:val="18"/>
        </w:rPr>
        <w:t xml:space="preserve"> for the </w:t>
      </w:r>
      <w:r w:rsidR="003B0036" w:rsidRPr="00D92FD6">
        <w:rPr>
          <w:rFonts w:asciiTheme="majorHAnsi" w:hAnsiTheme="majorHAnsi" w:cstheme="majorHAnsi"/>
          <w:sz w:val="18"/>
          <w:szCs w:val="18"/>
        </w:rPr>
        <w:t xml:space="preserve">awards </w:t>
      </w:r>
      <w:r w:rsidRPr="00D92FD6">
        <w:rPr>
          <w:rFonts w:asciiTheme="majorHAnsi" w:hAnsiTheme="majorHAnsi" w:cstheme="majorHAnsi"/>
          <w:sz w:val="18"/>
          <w:szCs w:val="18"/>
        </w:rPr>
        <w:t>enforced by the courts, the percentage is very similar to last year's, at 17%.</w:t>
      </w:r>
    </w:p>
    <w:sectPr w:rsidR="001A4BF5" w:rsidRPr="003B0036" w:rsidSect="00570693">
      <w:headerReference w:type="default" r:id="rId19"/>
      <w:headerReference w:type="first" r:id="rId20"/>
      <w:footerReference w:type="first" r:id="rId21"/>
      <w:pgSz w:w="11906" w:h="16838"/>
      <w:pgMar w:top="1053" w:right="284" w:bottom="567" w:left="284" w:header="0" w:footer="2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60AC4" w14:textId="77777777" w:rsidR="00012B90" w:rsidRPr="00D92FD6" w:rsidRDefault="00012B90" w:rsidP="00650DEF">
      <w:pPr>
        <w:spacing w:after="0" w:line="240" w:lineRule="auto"/>
      </w:pPr>
      <w:r w:rsidRPr="00D92FD6">
        <w:separator/>
      </w:r>
    </w:p>
  </w:endnote>
  <w:endnote w:type="continuationSeparator" w:id="0">
    <w:p w14:paraId="2D163989" w14:textId="77777777" w:rsidR="00012B90" w:rsidRPr="00D92FD6" w:rsidRDefault="00012B90" w:rsidP="00650DEF">
      <w:pPr>
        <w:spacing w:after="0" w:line="240" w:lineRule="auto"/>
      </w:pPr>
      <w:r w:rsidRPr="00D92F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irmalaU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8DDC1" w14:textId="77777777" w:rsidR="00570693" w:rsidRPr="000F57F2" w:rsidRDefault="00570693" w:rsidP="00570693">
    <w:pPr>
      <w:pStyle w:val="Piedepgina"/>
      <w:jc w:val="center"/>
      <w:rPr>
        <w:rFonts w:ascii="NirmalaUI" w:hAnsi="NirmalaUI" w:cs="NirmalaUI"/>
        <w:sz w:val="12"/>
        <w:szCs w:val="12"/>
        <w:lang w:val="es-ES"/>
      </w:rPr>
    </w:pPr>
    <w:r w:rsidRPr="000F57F2">
      <w:rPr>
        <w:rFonts w:ascii="NirmalaUI" w:hAnsi="NirmalaUI" w:cs="NirmalaUI"/>
        <w:sz w:val="12"/>
        <w:szCs w:val="12"/>
        <w:lang w:val="es-ES"/>
      </w:rPr>
      <w:t>Roger de Llúria, 113. 08037 Barcelona, Spain • T. (+34) 933 198 117 secretaria@tab.es • www.tab.es</w:t>
    </w:r>
  </w:p>
  <w:p w14:paraId="400031F2" w14:textId="77777777" w:rsidR="00570693" w:rsidRPr="00D92FD6" w:rsidRDefault="00570693" w:rsidP="00570693">
    <w:pPr>
      <w:pStyle w:val="Piedepgina"/>
      <w:jc w:val="center"/>
      <w:rPr>
        <w:rFonts w:ascii="NirmalaUI" w:hAnsi="NirmalaUI" w:cs="NirmalaUI"/>
        <w:sz w:val="12"/>
        <w:szCs w:val="12"/>
      </w:rPr>
    </w:pPr>
    <w:r w:rsidRPr="00D92FD6">
      <w:rPr>
        <w:rFonts w:ascii="NirmalaUI" w:hAnsi="NirmalaUI" w:cs="NirmalaUI"/>
        <w:sz w:val="12"/>
        <w:szCs w:val="12"/>
      </w:rPr>
      <w:t>Barcelona Arbitration Tribunal® · Catalonia Arbitration Tribunal® Catalan Association for Arbitration.</w:t>
    </w:r>
  </w:p>
  <w:p w14:paraId="4CB8F420" w14:textId="6288DBEA" w:rsidR="00650DEF" w:rsidRPr="00D92FD6" w:rsidRDefault="00570693" w:rsidP="00570693">
    <w:pPr>
      <w:pStyle w:val="Piedepgina"/>
      <w:jc w:val="center"/>
    </w:pPr>
    <w:r w:rsidRPr="00D92FD6">
      <w:rPr>
        <w:rFonts w:ascii="NirmalaUI" w:hAnsi="NirmalaUI" w:cs="NirmalaUI"/>
        <w:sz w:val="12"/>
        <w:szCs w:val="12"/>
      </w:rPr>
      <w:t>Tax ID no. G-58941964. Registered in the General Register of Associations of the Generalitat of Catalonia under no. 10643.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DE4FF" w14:textId="77777777" w:rsidR="00012B90" w:rsidRPr="00D92FD6" w:rsidRDefault="00012B90" w:rsidP="00650DEF">
      <w:pPr>
        <w:spacing w:after="0" w:line="240" w:lineRule="auto"/>
      </w:pPr>
      <w:r w:rsidRPr="00D92FD6">
        <w:separator/>
      </w:r>
    </w:p>
  </w:footnote>
  <w:footnote w:type="continuationSeparator" w:id="0">
    <w:p w14:paraId="5EC9318B" w14:textId="77777777" w:rsidR="00012B90" w:rsidRPr="00D92FD6" w:rsidRDefault="00012B90" w:rsidP="00650DEF">
      <w:pPr>
        <w:spacing w:after="0" w:line="240" w:lineRule="auto"/>
      </w:pPr>
      <w:r w:rsidRPr="00D92FD6">
        <w:continuationSeparator/>
      </w:r>
    </w:p>
  </w:footnote>
  <w:footnote w:id="1">
    <w:p w14:paraId="22CECD73" w14:textId="7C18F3D2" w:rsidR="005C6655" w:rsidRPr="003B0036" w:rsidRDefault="005C6655" w:rsidP="005C6655">
      <w:pPr>
        <w:pStyle w:val="Textonotapie"/>
        <w:jc w:val="both"/>
        <w:rPr>
          <w:rFonts w:asciiTheme="majorHAnsi" w:hAnsiTheme="majorHAnsi" w:cstheme="majorHAnsi"/>
          <w:sz w:val="16"/>
          <w:szCs w:val="16"/>
        </w:rPr>
      </w:pPr>
      <w:r w:rsidRPr="00D92FD6">
        <w:rPr>
          <w:rStyle w:val="Refdenotaalpie"/>
          <w:rFonts w:asciiTheme="majorHAnsi" w:hAnsiTheme="majorHAnsi" w:cstheme="majorHAnsi"/>
          <w:sz w:val="16"/>
          <w:szCs w:val="16"/>
        </w:rPr>
        <w:footnoteRef/>
      </w:r>
      <w:r w:rsidRPr="00D92FD6">
        <w:rPr>
          <w:rFonts w:asciiTheme="majorHAnsi" w:hAnsiTheme="majorHAnsi" w:cstheme="majorHAnsi"/>
          <w:sz w:val="16"/>
          <w:szCs w:val="16"/>
        </w:rPr>
        <w:t xml:space="preserve"> </w:t>
      </w:r>
      <w:r w:rsidR="00315815" w:rsidRPr="00D92FD6">
        <w:rPr>
          <w:rFonts w:asciiTheme="majorHAnsi" w:hAnsiTheme="majorHAnsi" w:cstheme="majorHAnsi"/>
          <w:sz w:val="16"/>
          <w:szCs w:val="16"/>
        </w:rPr>
        <w:t xml:space="preserve">The data on procedure durations are presented as trimmed means, excluding the two shortest and longest arbitrations from the calculation to provide a more realistic view. We also note that the shortest summary procedure lasted </w:t>
      </w:r>
      <w:r w:rsidRPr="00D92FD6">
        <w:rPr>
          <w:rFonts w:asciiTheme="majorHAnsi" w:hAnsiTheme="majorHAnsi" w:cstheme="majorHAnsi"/>
          <w:b/>
          <w:bCs/>
          <w:sz w:val="16"/>
          <w:szCs w:val="16"/>
          <w:u w:val="single"/>
        </w:rPr>
        <w:t>7,2</w:t>
      </w:r>
      <w:r w:rsidRPr="00D92FD6">
        <w:rPr>
          <w:rFonts w:asciiTheme="majorHAnsi" w:hAnsiTheme="majorHAnsi" w:cstheme="majorHAnsi"/>
          <w:sz w:val="16"/>
          <w:szCs w:val="16"/>
          <w:u w:val="single"/>
        </w:rPr>
        <w:t xml:space="preserve"> m</w:t>
      </w:r>
      <w:r w:rsidR="00315815" w:rsidRPr="00D92FD6">
        <w:rPr>
          <w:rFonts w:asciiTheme="majorHAnsi" w:hAnsiTheme="majorHAnsi" w:cstheme="majorHAnsi"/>
          <w:sz w:val="16"/>
          <w:szCs w:val="16"/>
          <w:u w:val="single"/>
        </w:rPr>
        <w:t>onths</w:t>
      </w:r>
      <w:r w:rsidR="00315815" w:rsidRPr="00D92FD6">
        <w:rPr>
          <w:rFonts w:asciiTheme="majorHAnsi" w:hAnsiTheme="majorHAnsi" w:cstheme="majorHAnsi"/>
          <w:sz w:val="16"/>
          <w:szCs w:val="16"/>
        </w:rPr>
        <w:t>, while the ordinary procedure lasted</w:t>
      </w:r>
      <w:r w:rsidR="00315815" w:rsidRPr="00D92FD6">
        <w:rPr>
          <w:rFonts w:asciiTheme="majorHAnsi" w:hAnsiTheme="majorHAnsi" w:cstheme="majorHAnsi"/>
          <w:sz w:val="16"/>
          <w:szCs w:val="16"/>
          <w:u w:val="single"/>
        </w:rPr>
        <w:t xml:space="preserve"> </w:t>
      </w:r>
      <w:r w:rsidRPr="00D92FD6">
        <w:rPr>
          <w:rFonts w:asciiTheme="majorHAnsi" w:hAnsiTheme="majorHAnsi" w:cstheme="majorHAnsi"/>
          <w:b/>
          <w:bCs/>
          <w:sz w:val="16"/>
          <w:szCs w:val="16"/>
          <w:u w:val="single"/>
        </w:rPr>
        <w:t>8,4</w:t>
      </w:r>
      <w:r w:rsidRPr="00D92FD6">
        <w:rPr>
          <w:rFonts w:asciiTheme="majorHAnsi" w:hAnsiTheme="majorHAnsi" w:cstheme="majorHAnsi"/>
          <w:sz w:val="16"/>
          <w:szCs w:val="16"/>
          <w:u w:val="single"/>
        </w:rPr>
        <w:t xml:space="preserve"> m</w:t>
      </w:r>
      <w:r w:rsidR="00315815" w:rsidRPr="00D92FD6">
        <w:rPr>
          <w:rFonts w:asciiTheme="majorHAnsi" w:hAnsiTheme="majorHAnsi" w:cstheme="majorHAnsi"/>
          <w:sz w:val="16"/>
          <w:szCs w:val="16"/>
          <w:u w:val="single"/>
        </w:rPr>
        <w:t>onth</w:t>
      </w:r>
      <w:r w:rsidRPr="00D92FD6">
        <w:rPr>
          <w:rFonts w:asciiTheme="majorHAnsi" w:hAnsiTheme="majorHAnsi" w:cstheme="majorHAnsi"/>
          <w:sz w:val="16"/>
          <w:szCs w:val="16"/>
          <w:u w:val="single"/>
        </w:rPr>
        <w:t>s</w:t>
      </w:r>
      <w:r w:rsidRPr="00D92FD6">
        <w:rPr>
          <w:rFonts w:asciiTheme="majorHAnsi" w:hAnsiTheme="majorHAnsi" w:cstheme="maj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94FEF" w14:textId="0AFC0CCE" w:rsidR="00650DEF" w:rsidRPr="00D92FD6" w:rsidRDefault="00650DEF" w:rsidP="00650DEF">
    <w:pPr>
      <w:pStyle w:val="Encabezado"/>
      <w:jc w:val="right"/>
    </w:pPr>
    <w:r w:rsidRPr="00D92FD6">
      <w:rPr>
        <w:noProof/>
      </w:rPr>
      <w:drawing>
        <wp:inline distT="0" distB="0" distL="0" distR="0" wp14:anchorId="0283F390" wp14:editId="39E8D46F">
          <wp:extent cx="647700" cy="647700"/>
          <wp:effectExtent l="0" t="0" r="0" b="0"/>
          <wp:docPr id="264099682" name="Imagen 2640996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52139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087DD" w14:textId="5EFC748D" w:rsidR="00650DEF" w:rsidRPr="00D92FD6" w:rsidRDefault="00650DEF" w:rsidP="00650DEF">
    <w:pPr>
      <w:pStyle w:val="Encabezado"/>
      <w:jc w:val="right"/>
    </w:pPr>
    <w:r w:rsidRPr="00D92FD6">
      <w:rPr>
        <w:noProof/>
      </w:rPr>
      <w:drawing>
        <wp:inline distT="0" distB="0" distL="0" distR="0" wp14:anchorId="16102FD9" wp14:editId="233CB019">
          <wp:extent cx="730250" cy="730250"/>
          <wp:effectExtent l="0" t="0" r="0" b="0"/>
          <wp:docPr id="266241661" name="Imagen 2662416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52139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0250" cy="730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47296"/>
    <w:multiLevelType w:val="hybridMultilevel"/>
    <w:tmpl w:val="66CE4E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8040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BB6"/>
    <w:rsid w:val="000032C3"/>
    <w:rsid w:val="00004248"/>
    <w:rsid w:val="00012B90"/>
    <w:rsid w:val="00022E10"/>
    <w:rsid w:val="00023A18"/>
    <w:rsid w:val="00024F2E"/>
    <w:rsid w:val="000449A4"/>
    <w:rsid w:val="00055CA2"/>
    <w:rsid w:val="000716E2"/>
    <w:rsid w:val="00082211"/>
    <w:rsid w:val="000A10E9"/>
    <w:rsid w:val="000F36BD"/>
    <w:rsid w:val="000F57F2"/>
    <w:rsid w:val="00102B75"/>
    <w:rsid w:val="00114D29"/>
    <w:rsid w:val="00124E17"/>
    <w:rsid w:val="001258D9"/>
    <w:rsid w:val="001566F7"/>
    <w:rsid w:val="00161B79"/>
    <w:rsid w:val="001A4BF5"/>
    <w:rsid w:val="001C7E8A"/>
    <w:rsid w:val="001D1EF7"/>
    <w:rsid w:val="00251AE0"/>
    <w:rsid w:val="0025621C"/>
    <w:rsid w:val="002836FD"/>
    <w:rsid w:val="00285A14"/>
    <w:rsid w:val="002A3F8E"/>
    <w:rsid w:val="002C2D3C"/>
    <w:rsid w:val="002D5FC3"/>
    <w:rsid w:val="002D6768"/>
    <w:rsid w:val="002E1AAB"/>
    <w:rsid w:val="00315815"/>
    <w:rsid w:val="003363F2"/>
    <w:rsid w:val="0037442E"/>
    <w:rsid w:val="003A301D"/>
    <w:rsid w:val="003A6775"/>
    <w:rsid w:val="003B0036"/>
    <w:rsid w:val="003D29F9"/>
    <w:rsid w:val="003F77C6"/>
    <w:rsid w:val="004040AA"/>
    <w:rsid w:val="00415103"/>
    <w:rsid w:val="00455266"/>
    <w:rsid w:val="00485D41"/>
    <w:rsid w:val="00486A4C"/>
    <w:rsid w:val="004A7D13"/>
    <w:rsid w:val="004C587A"/>
    <w:rsid w:val="004E7F40"/>
    <w:rsid w:val="00525062"/>
    <w:rsid w:val="0052560F"/>
    <w:rsid w:val="0053212E"/>
    <w:rsid w:val="00552245"/>
    <w:rsid w:val="00563352"/>
    <w:rsid w:val="00570693"/>
    <w:rsid w:val="005729AB"/>
    <w:rsid w:val="00576F20"/>
    <w:rsid w:val="00594125"/>
    <w:rsid w:val="00595388"/>
    <w:rsid w:val="005A42B7"/>
    <w:rsid w:val="005A6A36"/>
    <w:rsid w:val="005C501F"/>
    <w:rsid w:val="005C6655"/>
    <w:rsid w:val="005F2E1E"/>
    <w:rsid w:val="00620E5E"/>
    <w:rsid w:val="006250CC"/>
    <w:rsid w:val="0064686A"/>
    <w:rsid w:val="00650DEF"/>
    <w:rsid w:val="00671FBD"/>
    <w:rsid w:val="00685C03"/>
    <w:rsid w:val="006A410C"/>
    <w:rsid w:val="006D5D92"/>
    <w:rsid w:val="006F715F"/>
    <w:rsid w:val="0070785D"/>
    <w:rsid w:val="007130BA"/>
    <w:rsid w:val="0072612B"/>
    <w:rsid w:val="00731826"/>
    <w:rsid w:val="00736DE2"/>
    <w:rsid w:val="00740CAD"/>
    <w:rsid w:val="00753F5D"/>
    <w:rsid w:val="007555C8"/>
    <w:rsid w:val="007C1093"/>
    <w:rsid w:val="007C59D4"/>
    <w:rsid w:val="007D627F"/>
    <w:rsid w:val="007E4E39"/>
    <w:rsid w:val="007E54C9"/>
    <w:rsid w:val="007F1E6F"/>
    <w:rsid w:val="00810E2A"/>
    <w:rsid w:val="00814F2A"/>
    <w:rsid w:val="00826C45"/>
    <w:rsid w:val="0086146F"/>
    <w:rsid w:val="008D748F"/>
    <w:rsid w:val="00905992"/>
    <w:rsid w:val="00942BBD"/>
    <w:rsid w:val="0096180D"/>
    <w:rsid w:val="009B67CD"/>
    <w:rsid w:val="009C3729"/>
    <w:rsid w:val="009D0069"/>
    <w:rsid w:val="00A269E7"/>
    <w:rsid w:val="00A32B39"/>
    <w:rsid w:val="00A518D2"/>
    <w:rsid w:val="00A8052B"/>
    <w:rsid w:val="00A958B2"/>
    <w:rsid w:val="00AA4A87"/>
    <w:rsid w:val="00AB5A6C"/>
    <w:rsid w:val="00AC6A9A"/>
    <w:rsid w:val="00AF49A7"/>
    <w:rsid w:val="00AF5248"/>
    <w:rsid w:val="00B3062B"/>
    <w:rsid w:val="00BC3883"/>
    <w:rsid w:val="00BC4120"/>
    <w:rsid w:val="00BE611C"/>
    <w:rsid w:val="00BF181F"/>
    <w:rsid w:val="00C546E2"/>
    <w:rsid w:val="00C821F2"/>
    <w:rsid w:val="00C908D1"/>
    <w:rsid w:val="00CB07A2"/>
    <w:rsid w:val="00CB0FBE"/>
    <w:rsid w:val="00CC0608"/>
    <w:rsid w:val="00CE36DF"/>
    <w:rsid w:val="00CF2051"/>
    <w:rsid w:val="00D069AD"/>
    <w:rsid w:val="00D069D2"/>
    <w:rsid w:val="00D1774E"/>
    <w:rsid w:val="00D373C2"/>
    <w:rsid w:val="00D449A2"/>
    <w:rsid w:val="00D51AE5"/>
    <w:rsid w:val="00D567CC"/>
    <w:rsid w:val="00D7620A"/>
    <w:rsid w:val="00D76262"/>
    <w:rsid w:val="00D840DA"/>
    <w:rsid w:val="00D862B6"/>
    <w:rsid w:val="00D92FD6"/>
    <w:rsid w:val="00DB5598"/>
    <w:rsid w:val="00DC0A47"/>
    <w:rsid w:val="00E10A24"/>
    <w:rsid w:val="00E10DE5"/>
    <w:rsid w:val="00E24138"/>
    <w:rsid w:val="00E725D8"/>
    <w:rsid w:val="00E81FE4"/>
    <w:rsid w:val="00E86551"/>
    <w:rsid w:val="00E962D8"/>
    <w:rsid w:val="00EA546A"/>
    <w:rsid w:val="00EA5687"/>
    <w:rsid w:val="00EB0BB6"/>
    <w:rsid w:val="00EB798E"/>
    <w:rsid w:val="00F028E3"/>
    <w:rsid w:val="00F077E3"/>
    <w:rsid w:val="00F07C04"/>
    <w:rsid w:val="00F14A90"/>
    <w:rsid w:val="00F14C65"/>
    <w:rsid w:val="00F359B8"/>
    <w:rsid w:val="00F4654F"/>
    <w:rsid w:val="00F5644E"/>
    <w:rsid w:val="00F64537"/>
    <w:rsid w:val="00F71776"/>
    <w:rsid w:val="00FA1E7A"/>
    <w:rsid w:val="00FC33E2"/>
    <w:rsid w:val="00FD1290"/>
    <w:rsid w:val="00FF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97B8F6"/>
  <w15:chartTrackingRefBased/>
  <w15:docId w15:val="{9AE0D9DA-F60C-417E-B0A1-32E54D26E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EB0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B0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B0B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B0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B0B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B0B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B0B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B0B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B0B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B0BB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B0BB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B0BB6"/>
    <w:rPr>
      <w:rFonts w:eastAsiaTheme="majorEastAsia" w:cstheme="majorBidi"/>
      <w:color w:val="2F5496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B0BB6"/>
    <w:rPr>
      <w:rFonts w:eastAsiaTheme="majorEastAsia" w:cstheme="majorBidi"/>
      <w:i/>
      <w:iCs/>
      <w:color w:val="2F5496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B0BB6"/>
    <w:rPr>
      <w:rFonts w:eastAsiaTheme="majorEastAsia" w:cstheme="majorBidi"/>
      <w:color w:val="2F5496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B0BB6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B0BB6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B0BB6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B0BB6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EB0B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B0BB6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EB0B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B0BB6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EB0B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B0BB6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EB0BB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B0BB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B0B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B0BB6"/>
    <w:rPr>
      <w:i/>
      <w:iCs/>
      <w:color w:val="2F5496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EB0BB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50D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0DEF"/>
    <w:rPr>
      <w:lang w:val="es-ES_tradnl"/>
    </w:rPr>
  </w:style>
  <w:style w:type="paragraph" w:styleId="Piedepgina">
    <w:name w:val="footer"/>
    <w:basedOn w:val="Normal"/>
    <w:link w:val="PiedepginaCar"/>
    <w:unhideWhenUsed/>
    <w:rsid w:val="00650D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0DEF"/>
    <w:rPr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753F5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53F5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53F5D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53F5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53F5D"/>
    <w:rPr>
      <w:b/>
      <w:bCs/>
      <w:sz w:val="20"/>
      <w:szCs w:val="20"/>
      <w:lang w:val="es-ES_tradnl"/>
    </w:rPr>
  </w:style>
  <w:style w:type="paragraph" w:styleId="Revisin">
    <w:name w:val="Revision"/>
    <w:hidden/>
    <w:uiPriority w:val="99"/>
    <w:semiHidden/>
    <w:rsid w:val="00753F5D"/>
    <w:pPr>
      <w:spacing w:after="0" w:line="240" w:lineRule="auto"/>
    </w:pPr>
    <w:rPr>
      <w:lang w:val="es-ES_tradn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958B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958B2"/>
    <w:rPr>
      <w:sz w:val="20"/>
      <w:szCs w:val="20"/>
      <w:lang w:val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A958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chartUserShapes" Target="../drawings/drawing7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5" Type="http://schemas.openxmlformats.org/officeDocument/2006/relationships/chartUserShapes" Target="../drawings/drawing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Carme.TAB-BCN\Desktop\ESTAD&#205;STIQUES\ESTAD&#205;STIQUES-2024\ESTAD&#205;STIQUES-2024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5" Type="http://schemas.openxmlformats.org/officeDocument/2006/relationships/chartUserShapes" Target="../drawings/drawing4.xml"/><Relationship Id="rId4" Type="http://schemas.openxmlformats.org/officeDocument/2006/relationships/package" Target="../embeddings/Microsoft_Excel_Worksheet2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Carme.TAB-BCN\Desktop\ESTAD&#205;STIQUES\ESTAD&#205;STIQUES-2024\ESTAD&#205;STIQUES-2024.xlsx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Carme.TAB-BCN\Desktop\ESTAD&#205;STIQUES\ESTAD&#205;STIQUES-2024\ESTAD&#205;STIQUES-2024.xlsx" TargetMode="Externa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6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1639535451234343"/>
          <c:y val="4.7663882440226894E-2"/>
          <c:w val="0.55393524604605149"/>
          <c:h val="0.88806947558707483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6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8AE-4754-833D-93A84FFA3928}"/>
              </c:ext>
            </c:extLst>
          </c:dPt>
          <c:dPt>
            <c:idx val="1"/>
            <c:bubble3D val="0"/>
            <c:spPr>
              <a:solidFill>
                <a:srgbClr val="008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8AE-4754-833D-93A84FFA3928}"/>
              </c:ext>
            </c:extLst>
          </c:dPt>
          <c:dPt>
            <c:idx val="2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8AE-4754-833D-93A84FFA3928}"/>
              </c:ext>
            </c:extLst>
          </c:dPt>
          <c:dPt>
            <c:idx val="3"/>
            <c:bubble3D val="0"/>
            <c:explosion val="1"/>
            <c:spPr>
              <a:solidFill>
                <a:schemeClr val="accent6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8AE-4754-833D-93A84FFA3928}"/>
              </c:ext>
            </c:extLst>
          </c:dPt>
          <c:dPt>
            <c:idx val="4"/>
            <c:bubble3D val="0"/>
            <c:spPr>
              <a:solidFill>
                <a:schemeClr val="accent6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8AE-4754-833D-93A84FFA3928}"/>
              </c:ext>
            </c:extLst>
          </c:dPt>
          <c:dPt>
            <c:idx val="5"/>
            <c:bubble3D val="0"/>
            <c:spPr>
              <a:solidFill>
                <a:schemeClr val="accent6">
                  <a:lumMod val="20000"/>
                  <a:lumOff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C8AE-4754-833D-93A84FFA3928}"/>
              </c:ext>
            </c:extLst>
          </c:dPt>
          <c:dPt>
            <c:idx val="6"/>
            <c:bubble3D val="0"/>
            <c:spPr>
              <a:solidFill>
                <a:srgbClr val="33996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C8AE-4754-833D-93A84FFA3928}"/>
              </c:ext>
            </c:extLst>
          </c:dPt>
          <c:dPt>
            <c:idx val="7"/>
            <c:bubble3D val="0"/>
            <c:spPr>
              <a:solidFill>
                <a:srgbClr val="99CC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C8AE-4754-833D-93A84FFA3928}"/>
              </c:ext>
            </c:extLst>
          </c:dPt>
          <c:dPt>
            <c:idx val="8"/>
            <c:bubble3D val="0"/>
            <c:spPr>
              <a:solidFill>
                <a:srgbClr val="CCFF9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C8AE-4754-833D-93A84FFA3928}"/>
              </c:ext>
            </c:extLst>
          </c:dPt>
          <c:dLbls>
            <c:dLbl>
              <c:idx val="0"/>
              <c:layout>
                <c:manualLayout>
                  <c:x val="0.20956184693780744"/>
                  <c:y val="1.3044109323589717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Urban and rural leases
</a:t>
                    </a:r>
                    <a:fld id="{3DF273AB-7864-48A9-BA29-198B7A3B940B}" type="PERCENTAGE">
                      <a:rPr lang="en-US" baseline="0"/>
                      <a:pPr/>
                      <a:t>[PORCENTAJE]</a:t>
                    </a:fld>
                    <a:endParaRPr lang="en-US" baseline="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303820456177919"/>
                      <c:h val="0.20297535241869599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C8AE-4754-833D-93A84FFA3928}"/>
                </c:ext>
              </c:extLst>
            </c:dLbl>
            <c:dLbl>
              <c:idx val="1"/>
              <c:layout>
                <c:manualLayout>
                  <c:x val="0.15391745550396907"/>
                  <c:y val="-1.609657607660116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Administrative hiring</a:t>
                    </a:r>
                    <a:r>
                      <a:rPr lang="en-US" baseline="0"/>
                      <a:t>
</a:t>
                    </a:r>
                    <a:fld id="{8E693C4E-2861-4EA4-B9C2-ABDD1E685185}" type="PERCENTAGE">
                      <a:rPr lang="en-US" baseline="0"/>
                      <a:pPr/>
                      <a:t>[PORCENTAJE]</a:t>
                    </a:fld>
                    <a:endParaRPr lang="en-US" baseline="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C8AE-4754-833D-93A84FFA3928}"/>
                </c:ext>
              </c:extLst>
            </c:dLbl>
            <c:dLbl>
              <c:idx val="2"/>
              <c:layout>
                <c:manualLayout>
                  <c:x val="0.17246172725143522"/>
                  <c:y val="-9.8366828570564738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Construction contract (developer-contractor)</a:t>
                    </a:r>
                    <a:r>
                      <a:rPr lang="en-US" baseline="0"/>
                      <a:t>
</a:t>
                    </a:r>
                    <a:fld id="{C47B6013-76CD-4DD3-9E81-D2245D3C0A1F}" type="PERCENTAGE">
                      <a:rPr lang="en-US" baseline="0"/>
                      <a:pPr/>
                      <a:t>[PORCENTAJE]</a:t>
                    </a:fld>
                    <a:endParaRPr lang="en-US" baseline="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C8AE-4754-833D-93A84FFA3928}"/>
                </c:ext>
              </c:extLst>
            </c:dLbl>
            <c:dLbl>
              <c:idx val="3"/>
              <c:layout>
                <c:manualLayout>
                  <c:x val="0.20584141639687428"/>
                  <c:y val="7.243459234470500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Collaboration agreements</a:t>
                    </a:r>
                    <a:r>
                      <a:rPr lang="en-US" baseline="0"/>
                      <a:t>
</a:t>
                    </a:r>
                    <a:fld id="{BFAF2C56-E23E-4797-BCCE-49FD8E73F4A7}" type="PERCENTAGE">
                      <a:rPr lang="en-US" baseline="0"/>
                      <a:pPr/>
                      <a:t>[PORCENTAJE]</a:t>
                    </a:fld>
                    <a:endParaRPr lang="en-US" baseline="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C8AE-4754-833D-93A84FFA3928}"/>
                </c:ext>
              </c:extLst>
            </c:dLbl>
            <c:dLbl>
              <c:idx val="4"/>
              <c:layout>
                <c:manualLayout>
                  <c:x val="-0.19259381733909767"/>
                  <c:y val="0.1292865519469640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Contracts for the provision of professional and commercial services</a:t>
                    </a:r>
                    <a:r>
                      <a:rPr lang="en-US" baseline="0"/>
                      <a:t>
</a:t>
                    </a:r>
                    <a:fld id="{2BC9481E-4807-4D07-B9AA-F49208C8046E}" type="PERCENTAGE">
                      <a:rPr lang="en-US" baseline="0"/>
                      <a:pPr/>
                      <a:t>[PORCENTAJE]</a:t>
                    </a:fld>
                    <a:endParaRPr lang="en-US" baseline="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C8AE-4754-833D-93A84FFA3928}"/>
                </c:ext>
              </c:extLst>
            </c:dLbl>
            <c:dLbl>
              <c:idx val="5"/>
              <c:layout>
                <c:manualLayout>
                  <c:x val="-0.19575860246384866"/>
                  <c:y val="0.188649450733551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Corporate</a:t>
                    </a:r>
                    <a:r>
                      <a:rPr lang="en-US" baseline="0"/>
                      <a:t> law
</a:t>
                    </a:r>
                    <a:fld id="{119C5356-E2F3-4B5B-8D0D-955722844435}" type="PERCENTAGE">
                      <a:rPr lang="en-US" baseline="0"/>
                      <a:pPr/>
                      <a:t>[PORCENTAJE]</a:t>
                    </a:fld>
                    <a:endParaRPr lang="en-US" baseline="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C8AE-4754-833D-93A84FFA3928}"/>
                </c:ext>
              </c:extLst>
            </c:dLbl>
            <c:dLbl>
              <c:idx val="6"/>
              <c:layout>
                <c:manualLayout>
                  <c:x val="-0.21218168512068522"/>
                  <c:y val="0.1398847787837285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Mergers and acquisitions</a:t>
                    </a:r>
                  </a:p>
                  <a:p>
                    <a:r>
                      <a:rPr lang="en-US"/>
                      <a:t>(M&amp;A)</a:t>
                    </a:r>
                    <a:r>
                      <a:rPr lang="en-US" baseline="0"/>
                      <a:t>
</a:t>
                    </a:r>
                    <a:fld id="{21C62D7E-F4A3-4578-850F-A25EDFA9E3CC}" type="PERCENTAGE">
                      <a:rPr lang="en-US" baseline="0"/>
                      <a:pPr/>
                      <a:t>[PORCENTAJE]</a:t>
                    </a:fld>
                    <a:endParaRPr lang="en-US" baseline="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046281865369236"/>
                      <c:h val="0.226731240548573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C8AE-4754-833D-93A84FFA3928}"/>
                </c:ext>
              </c:extLst>
            </c:dLbl>
            <c:dLbl>
              <c:idx val="7"/>
              <c:layout>
                <c:manualLayout>
                  <c:x val="-0.24980348841936925"/>
                  <c:y val="-3.198145347725574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Real</a:t>
                    </a:r>
                    <a:r>
                      <a:rPr lang="en-US" baseline="0"/>
                      <a:t> estate development (developer-consumer)
</a:t>
                    </a:r>
                    <a:fld id="{D23CC5D3-E3AD-46F1-A1CF-769D9AF0397F}" type="PERCENTAGE">
                      <a:rPr lang="en-US" baseline="0"/>
                      <a:pPr/>
                      <a:t>[PORCENTAJE]</a:t>
                    </a:fld>
                    <a:endParaRPr lang="en-US" baseline="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359345142098199"/>
                      <c:h val="0.2609614816359875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C8AE-4754-833D-93A84FFA3928}"/>
                </c:ext>
              </c:extLst>
            </c:dLbl>
            <c:dLbl>
              <c:idx val="8"/>
              <c:layout>
                <c:manualLayout>
                  <c:x val="-0.1581481832843184"/>
                  <c:y val="-2.733656637291199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Horizontal property</a:t>
                    </a:r>
                    <a:r>
                      <a:rPr lang="en-US" baseline="0"/>
                      <a:t>
</a:t>
                    </a:r>
                    <a:fld id="{15521FED-2016-492B-92DE-152CD2D1DF7A}" type="PERCENTAGE">
                      <a:rPr lang="en-US" baseline="0"/>
                      <a:pPr/>
                      <a:t>[PORCENTAJE]</a:t>
                    </a:fld>
                    <a:endParaRPr lang="en-US" baseline="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C8AE-4754-833D-93A84FFA3928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" lastClr="FFFFFF">
                    <a:lumMod val="8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j-lt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'Matèries-objecte'!$H$2:$H$10</c:f>
              <c:strCache>
                <c:ptCount val="9"/>
                <c:pt idx="0">
                  <c:v>Arrendaments urbans i rústics</c:v>
                </c:pt>
                <c:pt idx="1">
                  <c:v>Contractació administrativa</c:v>
                </c:pt>
                <c:pt idx="2">
                  <c:v>Contracte d'obra (promotor-constructor)</c:v>
                </c:pt>
                <c:pt idx="3">
                  <c:v>Contractes de col·laboració</c:v>
                </c:pt>
                <c:pt idx="4">
                  <c:v>Contractes de prestació de serveis professionals i mercantils </c:v>
                </c:pt>
                <c:pt idx="5">
                  <c:v>Dret societari</c:v>
                </c:pt>
                <c:pt idx="6">
                  <c:v>Fusions i adquisicions (M&amp;A)</c:v>
                </c:pt>
                <c:pt idx="7">
                  <c:v>Promoció Immobiliària (promotor-consumidor)</c:v>
                </c:pt>
                <c:pt idx="8">
                  <c:v>Propietat horitzontal </c:v>
                </c:pt>
              </c:strCache>
            </c:strRef>
          </c:cat>
          <c:val>
            <c:numRef>
              <c:f>'Matèries-objecte'!$I$2:$I$10</c:f>
              <c:numCache>
                <c:formatCode>General</c:formatCode>
                <c:ptCount val="9"/>
                <c:pt idx="0">
                  <c:v>4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  <c:pt idx="4">
                  <c:v>4</c:v>
                </c:pt>
                <c:pt idx="5">
                  <c:v>2</c:v>
                </c:pt>
                <c:pt idx="6">
                  <c:v>1</c:v>
                </c:pt>
                <c:pt idx="7">
                  <c:v>2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C8AE-4754-833D-93A84FFA39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5"/>
      </c:doughnut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ES"/>
    </a:p>
  </c:txPr>
  <c:externalData r:id="rId4">
    <c:autoUpdate val="0"/>
  </c:externalData>
  <c:userShapes r:id="rId5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184480929245545"/>
          <c:y val="2.9840607672385323E-2"/>
          <c:w val="0.78707327209098865"/>
          <c:h val="0.7137153549586206"/>
        </c:manualLayout>
      </c:layout>
      <c:barChart>
        <c:barDir val="bar"/>
        <c:grouping val="clustered"/>
        <c:varyColors val="0"/>
        <c:ser>
          <c:idx val="1"/>
          <c:order val="1"/>
          <c:tx>
            <c:strRef>
              <c:f>Durada!$J$96</c:f>
              <c:strCache>
                <c:ptCount val="1"/>
                <c:pt idx="0">
                  <c:v>months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solidFill>
                <a:sysClr val="window" lastClr="FFFFFF"/>
              </a:solidFill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j-lt"/>
                    <a:ea typeface="+mn-ea"/>
                    <a:cs typeface="+mn-cs"/>
                  </a:defRPr>
                </a:pPr>
                <a:endParaRPr lang="es-E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multiLvlStrRef>
              <c:f>Durada!$G$97:$H$102</c:f>
              <c:multiLvlStrCache>
                <c:ptCount val="6"/>
                <c:lvl>
                  <c:pt idx="1">
                    <c:v>trimmed mean</c:v>
                  </c:pt>
                  <c:pt idx="3">
                    <c:v>trimmed mean</c:v>
                  </c:pt>
                  <c:pt idx="5">
                    <c:v>trimmed mean</c:v>
                  </c:pt>
                </c:lvl>
                <c:lvl>
                  <c:pt idx="1">
                    <c:v>Pre arbitration</c:v>
                  </c:pt>
                  <c:pt idx="3">
                    <c:v>Arbitration</c:v>
                  </c:pt>
                  <c:pt idx="5">
                    <c:v>Total</c:v>
                  </c:pt>
                </c:lvl>
              </c:multiLvlStrCache>
            </c:multiLvlStrRef>
          </c:cat>
          <c:val>
            <c:numRef>
              <c:f>Durada!$J$97:$J$102</c:f>
              <c:numCache>
                <c:formatCode>#,##0.0</c:formatCode>
                <c:ptCount val="6"/>
                <c:pt idx="1">
                  <c:v>3.7833333333333323</c:v>
                </c:pt>
                <c:pt idx="3">
                  <c:v>4.3916666666666657</c:v>
                </c:pt>
                <c:pt idx="5">
                  <c:v>8.3166666666666682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01-4664-878B-9DB923F0FC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45308192"/>
        <c:axId val="645309992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Durada!$I$96</c15:sqref>
                        </c15:formulaRef>
                      </c:ext>
                    </c:extLst>
                    <c:strCache>
                      <c:ptCount val="1"/>
                      <c:pt idx="0">
                        <c:v>dies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solidFill>
                      <a:sysClr val="window" lastClr="FFFFFF"/>
                    </a:solidFill>
                    <a:ln>
                      <a:solidFill>
                        <a:sysClr val="windowText" lastClr="000000">
                          <a:lumMod val="25000"/>
                          <a:lumOff val="75000"/>
                        </a:sysClr>
                      </a:solidFill>
                    </a:ln>
                    <a:effectLst/>
                  </c:spPr>
                  <c:txPr>
                    <a:bodyPr rot="0" spcFirstLastPara="1" vertOverflow="clip" horzOverflow="clip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dk1">
                              <a:lumMod val="65000"/>
                              <a:lumOff val="3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s-ES"/>
                    </a:p>
                  </c:txPr>
                  <c:dLblPos val="outEnd"/>
                  <c:showLegendKey val="0"/>
                  <c:showVal val="1"/>
                  <c:showCatName val="1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pPr xmlns:c15="http://schemas.microsoft.com/office/drawing/2012/chart">
                        <a:prstGeom prst="wedgeRectCallout">
                          <a:avLst/>
                        </a:prstGeom>
                        <a:noFill/>
                        <a:ln>
                          <a:noFill/>
                        </a:ln>
                      </c15:spPr>
                      <c15:showLeaderLines val="0"/>
                    </c:ext>
                  </c:extLst>
                </c:dLbls>
                <c:cat>
                  <c:multiLvlStrRef>
                    <c:extLst>
                      <c:ext uri="{02D57815-91ED-43cb-92C2-25804820EDAC}">
                        <c15:formulaRef>
                          <c15:sqref>Durada!$G$97:$H$102</c15:sqref>
                        </c15:formulaRef>
                      </c:ext>
                    </c:extLst>
                    <c:multiLvlStrCache>
                      <c:ptCount val="6"/>
                      <c:lvl>
                        <c:pt idx="1">
                          <c:v>trimmed mean</c:v>
                        </c:pt>
                        <c:pt idx="3">
                          <c:v>trimmed mean</c:v>
                        </c:pt>
                        <c:pt idx="5">
                          <c:v>trimmed mean</c:v>
                        </c:pt>
                      </c:lvl>
                      <c:lvl>
                        <c:pt idx="1">
                          <c:v>Pre arbitration</c:v>
                        </c:pt>
                        <c:pt idx="3">
                          <c:v>Arbitration</c:v>
                        </c:pt>
                        <c:pt idx="5">
                          <c:v>Total</c:v>
                        </c:pt>
                      </c:lvl>
                    </c:multiLvlStrCache>
                  </c:multiLvlStrRef>
                </c:cat>
                <c:val>
                  <c:numRef>
                    <c:extLst>
                      <c:ext uri="{02D57815-91ED-43cb-92C2-25804820EDAC}">
                        <c15:formulaRef>
                          <c15:sqref>Durada!$I$97:$I$102</c15:sqref>
                        </c15:formulaRef>
                      </c:ext>
                    </c:extLst>
                    <c:numCache>
                      <c:formatCode>#,##0.0</c:formatCode>
                      <c:ptCount val="6"/>
                      <c:pt idx="1">
                        <c:v>113.5</c:v>
                      </c:pt>
                      <c:pt idx="3">
                        <c:v>131.75</c:v>
                      </c:pt>
                      <c:pt idx="5">
                        <c:v>249.5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2101-4664-878B-9DB923F0FCA5}"/>
                  </c:ext>
                </c:extLst>
              </c15:ser>
            </c15:filteredBarSeries>
          </c:ext>
        </c:extLst>
      </c:barChart>
      <c:catAx>
        <c:axId val="6453081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b" anchorCtr="1"/>
          <a:lstStyle/>
          <a:p>
            <a:pPr>
              <a:defRPr sz="600" b="1" i="0" u="none" strike="noStrike" kern="1200" baseline="0">
                <a:ln>
                  <a:noFill/>
                </a:ln>
                <a:solidFill>
                  <a:sysClr val="windowText" lastClr="000000">
                    <a:alpha val="99000"/>
                  </a:sysClr>
                </a:solidFill>
                <a:latin typeface="+mj-lt"/>
                <a:ea typeface="+mn-ea"/>
                <a:cs typeface="+mn-cs"/>
              </a:defRPr>
            </a:pPr>
            <a:endParaRPr lang="es-ES"/>
          </a:p>
        </c:txPr>
        <c:crossAx val="645309992"/>
        <c:crosses val="autoZero"/>
        <c:auto val="1"/>
        <c:lblAlgn val="ctr"/>
        <c:lblOffset val="100"/>
        <c:noMultiLvlLbl val="0"/>
      </c:catAx>
      <c:valAx>
        <c:axId val="645309992"/>
        <c:scaling>
          <c:orientation val="minMax"/>
        </c:scaling>
        <c:delete val="1"/>
        <c:axPos val="b"/>
        <c:numFmt formatCode="#,##0.0" sourceLinked="1"/>
        <c:majorTickMark val="none"/>
        <c:minorTickMark val="none"/>
        <c:tickLblPos val="nextTo"/>
        <c:crossAx val="645308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4200263952154486"/>
          <c:y val="0.3936901973487491"/>
          <c:w val="0.11108738264152625"/>
          <c:h val="0.1143943735672281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1" i="0" u="none" strike="noStrike" kern="1200" baseline="0">
              <a:solidFill>
                <a:sysClr val="windowText" lastClr="000000"/>
              </a:solidFill>
              <a:latin typeface="+mj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785160393850199"/>
          <c:y val="5.9515159030318059E-2"/>
          <c:w val="0.65240782402199726"/>
          <c:h val="0.86302767272201208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6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761-41DF-90C4-969A60ABF98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761-41DF-90C4-969A60ABF986}"/>
              </c:ext>
            </c:extLst>
          </c:dPt>
          <c:dPt>
            <c:idx val="2"/>
            <c:bubble3D val="0"/>
            <c:spPr>
              <a:solidFill>
                <a:schemeClr val="accent6">
                  <a:lumMod val="20000"/>
                  <a:lumOff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761-41DF-90C4-969A60ABF98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761-41DF-90C4-969A60ABF986}"/>
              </c:ext>
            </c:extLst>
          </c:dPt>
          <c:dPt>
            <c:idx val="4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761-41DF-90C4-969A60ABF986}"/>
              </c:ext>
            </c:extLst>
          </c:dPt>
          <c:dLbls>
            <c:dLbl>
              <c:idx val="0"/>
              <c:layout>
                <c:manualLayout>
                  <c:x val="0.13756234218350791"/>
                  <c:y val="9.606299212598415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0">
                    <a:noAutofit/>
                  </a:bodyPr>
                  <a:lstStyle/>
                  <a:p>
                    <a:pPr marL="0" marR="0" lvl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800" b="1" i="0" u="none" strike="noStrike" kern="1200" baseline="0">
                        <a:solidFill>
                          <a:sysClr val="windowText" lastClr="000000"/>
                        </a:solidFill>
                        <a:latin typeface="+mj-lt"/>
                        <a:ea typeface="+mn-ea"/>
                        <a:cs typeface="+mn-cs"/>
                      </a:defRPr>
                    </a:pPr>
                    <a:r>
                      <a:rPr lang="en-US" b="1" i="0">
                        <a:effectLst/>
                      </a:rPr>
                      <a:t>Award completed voluntarily</a:t>
                    </a:r>
                    <a:r>
                      <a:rPr lang="en-US" baseline="0"/>
                      <a:t>
</a:t>
                    </a:r>
                    <a:fld id="{316D1E0E-EAE8-47B4-B561-AB5167B1A771}" type="PERCENTAGE">
                      <a:rPr lang="en-US" baseline="0"/>
                      <a:pPr marL="0" marR="0" lvl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 sz="800" b="1">
                          <a:solidFill>
                            <a:sysClr val="windowText" lastClr="000000"/>
                          </a:solidFill>
                          <a:latin typeface="+mj-lt"/>
                        </a:defRPr>
                      </a:pPr>
                      <a:t>[PORCENTAJE]</a:t>
                    </a:fld>
                    <a:endParaRPr lang="en-US" baseline="0"/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0">
                  <a:noAutofit/>
                </a:bodyPr>
                <a:lstStyle/>
                <a:p>
                  <a:pPr marL="0" marR="0" lvl="0" indent="0" algn="ctr" defTabSz="914400" rtl="0" eaLnBrk="1" fontAlgn="auto" latinLnBrk="0" hangingPunct="1">
                    <a:lnSpc>
                      <a:spcPct val="100000"/>
                    </a:lnSpc>
                    <a:spcBef>
                      <a:spcPts val="0"/>
                    </a:spcBef>
                    <a:spcAft>
                      <a:spcPts val="0"/>
                    </a:spcAft>
                    <a:buClrTx/>
                    <a:buSzTx/>
                    <a:buFontTx/>
                    <a:buNone/>
                    <a:tabLst/>
                    <a:defRPr sz="800" b="1" i="0" u="none" strike="noStrike" kern="1200" baseline="0">
                      <a:solidFill>
                        <a:sysClr val="windowText" lastClr="000000"/>
                      </a:solidFill>
                      <a:latin typeface="+mj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1000393700787401"/>
                      <c:h val="0.2599276665219997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761-41DF-90C4-969A60ABF986}"/>
                </c:ext>
              </c:extLst>
            </c:dLbl>
            <c:dLbl>
              <c:idx val="2"/>
              <c:layout>
                <c:manualLayout>
                  <c:x val="-0.19332125692080698"/>
                  <c:y val="0.26121126247393872"/>
                </c:manualLayout>
              </c:layout>
              <c:tx>
                <c:rich>
                  <a:bodyPr/>
                  <a:lstStyle/>
                  <a:p>
                    <a:r>
                      <a:rPr lang="en-US" sz="800" b="1" i="0" u="none" strike="noStrike" baseline="0"/>
                      <a:t>Award challenged before the TSJ of Catalonia</a:t>
                    </a:r>
                    <a:r>
                      <a:rPr lang="en-US" baseline="0"/>
                      <a:t>
</a:t>
                    </a:r>
                    <a:fld id="{AD07A828-16B0-4653-874E-6C69ADB7079F}" type="PERCENTAGE">
                      <a:rPr lang="en-US" baseline="0"/>
                      <a:pPr/>
                      <a:t>[PORCENTAJE]</a:t>
                    </a:fld>
                    <a:endParaRPr lang="en-US" baseline="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3761-41DF-90C4-969A60ABF986}"/>
                </c:ext>
              </c:extLst>
            </c:dLbl>
            <c:dLbl>
              <c:idx val="4"/>
              <c:layout>
                <c:manualLayout>
                  <c:x val="-0.28051212348456445"/>
                  <c:y val="1.0423874181081696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0">
                    <a:spAutoFit/>
                  </a:bodyPr>
                  <a:lstStyle/>
                  <a:p>
                    <a:pPr marL="0" marR="0" lvl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800" b="1" i="0" u="none" strike="noStrike" kern="1200" baseline="0">
                        <a:solidFill>
                          <a:sysClr val="windowText" lastClr="000000"/>
                        </a:solidFill>
                        <a:latin typeface="+mj-lt"/>
                        <a:ea typeface="+mn-ea"/>
                        <a:cs typeface="+mn-cs"/>
                      </a:defRPr>
                    </a:pPr>
                    <a:r>
                      <a:rPr lang="en-US" b="1" i="0">
                        <a:effectLst/>
                      </a:rPr>
                      <a:t>Judicially enforced award</a:t>
                    </a:r>
                    <a:r>
                      <a:rPr lang="en-US" baseline="0"/>
                      <a:t>
</a:t>
                    </a:r>
                    <a:fld id="{CC4D66AA-625C-416B-9BE2-9191512D38A2}" type="PERCENTAGE">
                      <a:rPr lang="en-US" baseline="0"/>
                      <a:pPr marL="0" marR="0" lvl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 sz="800" b="1">
                          <a:solidFill>
                            <a:sysClr val="windowText" lastClr="000000"/>
                          </a:solidFill>
                          <a:latin typeface="+mj-lt"/>
                        </a:defRPr>
                      </a:pPr>
                      <a:t>[PORCENTAJE]</a:t>
                    </a:fld>
                    <a:endParaRPr lang="en-US" baseline="0"/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0">
                  <a:spAutoFit/>
                </a:bodyPr>
                <a:lstStyle/>
                <a:p>
                  <a:pPr marL="0" marR="0" lvl="0" indent="0" algn="ctr" defTabSz="914400" rtl="0" eaLnBrk="1" fontAlgn="auto" latinLnBrk="0" hangingPunct="1">
                    <a:lnSpc>
                      <a:spcPct val="100000"/>
                    </a:lnSpc>
                    <a:spcBef>
                      <a:spcPts val="0"/>
                    </a:spcBef>
                    <a:spcAft>
                      <a:spcPts val="0"/>
                    </a:spcAft>
                    <a:buClrTx/>
                    <a:buSzTx/>
                    <a:buFontTx/>
                    <a:buNone/>
                    <a:tabLst/>
                    <a:defRPr sz="800" b="1" i="0" u="none" strike="noStrike" kern="1200" baseline="0">
                      <a:solidFill>
                        <a:sysClr val="windowText" lastClr="000000"/>
                      </a:solidFill>
                      <a:latin typeface="+mj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3761-41DF-90C4-969A60ABF986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+mj-lt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'Compliment laude'!$D$28:$D$32</c:f>
              <c:strCache>
                <c:ptCount val="5"/>
                <c:pt idx="0">
                  <c:v>Laude complert voluntariament</c:v>
                </c:pt>
                <c:pt idx="2">
                  <c:v>Laude impugnat davant TSJ Catalunya</c:v>
                </c:pt>
                <c:pt idx="4">
                  <c:v>Laude executat judicialment</c:v>
                </c:pt>
              </c:strCache>
            </c:strRef>
          </c:cat>
          <c:val>
            <c:numRef>
              <c:f>'Compliment laude'!$E$28:$E$32</c:f>
              <c:numCache>
                <c:formatCode>General</c:formatCode>
                <c:ptCount val="5"/>
                <c:pt idx="0">
                  <c:v>9</c:v>
                </c:pt>
                <c:pt idx="2">
                  <c:v>1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761-41DF-90C4-969A60ABF9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5"/>
      </c:doughnut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2929163129701724"/>
          <c:y val="4.139274788103716E-2"/>
          <c:w val="0.60549073559113664"/>
          <c:h val="0.87851676307451865"/>
        </c:manualLayout>
      </c:layout>
      <c:doughnutChart>
        <c:varyColors val="1"/>
        <c:ser>
          <c:idx val="0"/>
          <c:order val="0"/>
          <c:spPr>
            <a:solidFill>
              <a:schemeClr val="accent6">
                <a:lumMod val="60000"/>
                <a:lumOff val="40000"/>
              </a:schemeClr>
            </a:solidFill>
          </c:spPr>
          <c:dPt>
            <c:idx val="0"/>
            <c:bubble3D val="0"/>
            <c:spPr>
              <a:solidFill>
                <a:schemeClr val="accent6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693-4FE8-B123-B4F1A96E220E}"/>
              </c:ext>
            </c:extLst>
          </c:dPt>
          <c:dPt>
            <c:idx val="1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693-4FE8-B123-B4F1A96E220E}"/>
              </c:ext>
            </c:extLst>
          </c:dPt>
          <c:dLbls>
            <c:dLbl>
              <c:idx val="0"/>
              <c:layout>
                <c:manualLayout>
                  <c:x val="0.24166666666666656"/>
                  <c:y val="-1.8518518518518604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Law
</a:t>
                    </a:r>
                    <a:fld id="{32BA8483-FF58-40BF-AA4D-ADFEFBE725AF}" type="PERCENTAGE">
                      <a:rPr lang="en-US" baseline="0"/>
                      <a:pPr/>
                      <a:t>[PORCENTAJE]</a:t>
                    </a:fld>
                    <a:endParaRPr lang="en-US" baseline="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693-4FE8-B123-B4F1A96E220E}"/>
                </c:ext>
              </c:extLst>
            </c:dLbl>
            <c:dLbl>
              <c:idx val="1"/>
              <c:layout>
                <c:manualLayout>
                  <c:x val="-0.23386243386243386"/>
                  <c:y val="-1.0567276284853162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Equity
</a:t>
                    </a:r>
                    <a:fld id="{CFD32DAF-81BD-4970-A438-36FE30722366}" type="PERCENTAGE">
                      <a:rPr lang="en-US" baseline="0"/>
                      <a:pPr/>
                      <a:t>[PORCENTAJE]</a:t>
                    </a:fld>
                    <a:endParaRPr lang="en-US" baseline="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E693-4FE8-B123-B4F1A96E220E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" lastClr="FFFFFF">
                    <a:lumMod val="8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+mj-lt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'Tipus arbitratge'!$D$2:$D$3</c:f>
              <c:strCache>
                <c:ptCount val="2"/>
                <c:pt idx="0">
                  <c:v>Dret</c:v>
                </c:pt>
                <c:pt idx="1">
                  <c:v>Equitat</c:v>
                </c:pt>
              </c:strCache>
            </c:strRef>
          </c:cat>
          <c:val>
            <c:numRef>
              <c:f>'Tipus arbitratge'!$E$2:$E$3</c:f>
              <c:numCache>
                <c:formatCode>General</c:formatCode>
                <c:ptCount val="2"/>
                <c:pt idx="0">
                  <c:v>20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693-4FE8-B123-B4F1A96E22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5"/>
      </c:doughnutChart>
      <c:spPr>
        <a:noFill/>
        <a:ln w="9525"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ES"/>
    </a:p>
  </c:txPr>
  <c:externalData r:id="rId4">
    <c:autoUpdate val="0"/>
  </c:externalData>
  <c:userShapes r:id="rId5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572238376841902"/>
          <c:y val="8.0233152674097571E-2"/>
          <c:w val="0.56908196382091247"/>
          <c:h val="0.89057632000545384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6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C2E-48FA-BBB8-D9BA6E831547}"/>
              </c:ext>
            </c:extLst>
          </c:dPt>
          <c:dPt>
            <c:idx val="1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C2E-48FA-BBB8-D9BA6E831547}"/>
              </c:ext>
            </c:extLst>
          </c:dPt>
          <c:dLbls>
            <c:dLbl>
              <c:idx val="0"/>
              <c:layout>
                <c:manualLayout>
                  <c:x val="0.16944444444444445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men
</a:t>
                    </a:r>
                    <a:fld id="{2D5AB321-A9B1-440F-8E90-1BC3D40C1FF7}" type="PERCENTAGE">
                      <a:rPr lang="en-US" baseline="0"/>
                      <a:pPr/>
                      <a:t>[PORCENTAJE]</a:t>
                    </a:fld>
                    <a:endParaRPr lang="en-US" baseline="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C2E-48FA-BBB8-D9BA6E831547}"/>
                </c:ext>
              </c:extLst>
            </c:dLbl>
            <c:dLbl>
              <c:idx val="1"/>
              <c:layout>
                <c:manualLayout>
                  <c:x val="-0.23333333333333334"/>
                  <c:y val="-5.55555555555555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women</a:t>
                    </a:r>
                    <a:r>
                      <a:rPr lang="en-US" baseline="0"/>
                      <a:t>
</a:t>
                    </a:r>
                    <a:fld id="{C1D95B5B-ED47-430C-A803-356EE2086ABB}" type="PERCENTAGE">
                      <a:rPr lang="en-US" baseline="0"/>
                      <a:pPr/>
                      <a:t>[PORCENTAJE]</a:t>
                    </a:fld>
                    <a:endParaRPr lang="en-US" baseline="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4C2E-48FA-BBB8-D9BA6E831547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" lastClr="FFFFFF">
                    <a:lumMod val="8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j-lt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Gènere!$E$4:$E$5</c:f>
              <c:strCache>
                <c:ptCount val="2"/>
                <c:pt idx="0">
                  <c:v>homes</c:v>
                </c:pt>
                <c:pt idx="1">
                  <c:v>dones</c:v>
                </c:pt>
              </c:strCache>
            </c:strRef>
          </c:cat>
          <c:val>
            <c:numRef>
              <c:f>Gènere!$F$4:$F$5</c:f>
              <c:numCache>
                <c:formatCode>General</c:formatCode>
                <c:ptCount val="2"/>
                <c:pt idx="0">
                  <c:v>20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C2E-48FA-BBB8-D9BA6E8315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5"/>
      </c:doughnutChart>
      <c:spPr>
        <a:noFill/>
        <a:ln w="9525"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n>
            <a:noFill/>
          </a:ln>
          <a:solidFill>
            <a:schemeClr val="tx1"/>
          </a:solidFill>
        </a:defRPr>
      </a:pPr>
      <a:endParaRPr lang="es-ES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2717177640029038"/>
          <c:y val="0.11722607435264622"/>
          <c:w val="0.58111744010722066"/>
          <c:h val="0.81529909507580223"/>
        </c:manualLayout>
      </c:layout>
      <c:doughnutChart>
        <c:varyColors val="1"/>
        <c:ser>
          <c:idx val="0"/>
          <c:order val="0"/>
          <c:spPr>
            <a:solidFill>
              <a:schemeClr val="accent6">
                <a:lumMod val="75000"/>
              </a:schemeClr>
            </a:solidFill>
          </c:spPr>
          <c:dPt>
            <c:idx val="0"/>
            <c:bubble3D val="0"/>
            <c:spPr>
              <a:solidFill>
                <a:schemeClr val="accent6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4F8-41D6-81C6-FF60F0EDAB00}"/>
              </c:ext>
            </c:extLst>
          </c:dPt>
          <c:dPt>
            <c:idx val="1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4F8-41D6-81C6-FF60F0EDAB00}"/>
              </c:ext>
            </c:extLst>
          </c:dPt>
          <c:dPt>
            <c:idx val="2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4F8-41D6-81C6-FF60F0EDAB00}"/>
              </c:ext>
            </c:extLst>
          </c:dPt>
          <c:dLbls>
            <c:dLbl>
              <c:idx val="0"/>
              <c:layout>
                <c:manualLayout>
                  <c:x val="0.16863113264688068"/>
                  <c:y val="-0.1199663101813765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Catalan</a:t>
                    </a:r>
                    <a:r>
                      <a:rPr lang="en-US" baseline="0"/>
                      <a:t>
</a:t>
                    </a:r>
                    <a:fld id="{3148D96A-FC66-480C-9E06-447A1E73AE49}" type="PERCENTAGE">
                      <a:rPr lang="en-US" baseline="0"/>
                      <a:pPr/>
                      <a:t>[PORCENTAJE]</a:t>
                    </a:fld>
                    <a:endParaRPr lang="en-US" baseline="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208947893987264"/>
                      <c:h val="0.1884339457567804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04F8-41D6-81C6-FF60F0EDAB00}"/>
                </c:ext>
              </c:extLst>
            </c:dLbl>
            <c:dLbl>
              <c:idx val="1"/>
              <c:layout>
                <c:manualLayout>
                  <c:x val="-0.28182071471835252"/>
                  <c:y val="2.142084851333872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Spanish</a:t>
                    </a:r>
                    <a:r>
                      <a:rPr lang="en-US" baseline="0"/>
                      <a:t>
</a:t>
                    </a:r>
                    <a:fld id="{68424084-90E9-4146-A954-66D5D76A7C1C}" type="PERCENTAGE">
                      <a:rPr lang="en-US" baseline="0"/>
                      <a:pPr/>
                      <a:t>[PORCENTAJE]</a:t>
                    </a:fld>
                    <a:endParaRPr lang="en-US" baseline="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025390017516004"/>
                      <c:h val="0.167600612423447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04F8-41D6-81C6-FF60F0EDAB00}"/>
                </c:ext>
              </c:extLst>
            </c:dLbl>
            <c:dLbl>
              <c:idx val="2"/>
              <c:layout>
                <c:manualLayout>
                  <c:x val="-0.29867246428510108"/>
                  <c:y val="-5.6633977496234042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1" i="0" u="none" strike="noStrike" kern="1200" baseline="0">
                        <a:solidFill>
                          <a:sysClr val="windowText" lastClr="000000"/>
                        </a:solidFill>
                        <a:latin typeface="+mj-lt"/>
                        <a:ea typeface="+mn-ea"/>
                        <a:cs typeface="+mn-cs"/>
                      </a:defRPr>
                    </a:pPr>
                    <a:r>
                      <a:rPr lang="en-US"/>
                      <a:t>Spanish and Catalan interchangeably</a:t>
                    </a:r>
                    <a:r>
                      <a:rPr lang="en-US" baseline="0"/>
                      <a:t>
</a:t>
                    </a:r>
                    <a:fld id="{DF00A924-139B-4BC4-8496-8C651979C739}" type="PERCENTAGE">
                      <a:rPr lang="en-US" baseline="0"/>
                      <a:pPr>
                        <a:defRPr sz="800" b="1">
                          <a:solidFill>
                            <a:sysClr val="windowText" lastClr="000000"/>
                          </a:solidFill>
                          <a:latin typeface="+mj-lt"/>
                        </a:defRPr>
                      </a:pPr>
                      <a:t>[PORCENTAJE]</a:t>
                    </a:fld>
                    <a:endParaRPr lang="en-US" baseline="0"/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ysClr val="window" lastClr="FFFFFF">
                      <a:lumMod val="8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ysClr val="windowText" lastClr="000000"/>
                      </a:solidFill>
                      <a:latin typeface="+mj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19628055639386541"/>
                      <c:h val="0.26881100388767193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04F8-41D6-81C6-FF60F0EDAB00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" lastClr="FFFFFF">
                    <a:lumMod val="8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+mj-lt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'Idioma arbitratge'!$C$2:$C$4</c:f>
              <c:strCache>
                <c:ptCount val="3"/>
                <c:pt idx="0">
                  <c:v>català</c:v>
                </c:pt>
                <c:pt idx="1">
                  <c:v>castellà</c:v>
                </c:pt>
                <c:pt idx="2">
                  <c:v>castellà i català indistintament</c:v>
                </c:pt>
              </c:strCache>
            </c:strRef>
          </c:cat>
          <c:val>
            <c:numRef>
              <c:f>'Idioma arbitratge'!$D$2:$D$4</c:f>
              <c:numCache>
                <c:formatCode>General</c:formatCode>
                <c:ptCount val="3"/>
                <c:pt idx="0">
                  <c:v>6</c:v>
                </c:pt>
                <c:pt idx="1">
                  <c:v>12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4F8-41D6-81C6-FF60F0EDAB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5"/>
      </c:doughnutChart>
      <c:spPr>
        <a:noFill/>
        <a:ln w="9525">
          <a:solidFill>
            <a:sysClr val="window" lastClr="FFFFFF"/>
          </a:solidFill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ES"/>
    </a:p>
  </c:txPr>
  <c:externalData r:id="rId4">
    <c:autoUpdate val="0"/>
  </c:externalData>
  <c:userShapes r:id="rId5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404340586458951"/>
          <c:y val="7.9531974391051585E-2"/>
          <c:w val="0.61961279033669181"/>
          <c:h val="0.80330840382870361"/>
        </c:manualLayout>
      </c:layout>
      <c:doughnutChart>
        <c:varyColors val="1"/>
        <c:ser>
          <c:idx val="0"/>
          <c:order val="0"/>
          <c:spPr>
            <a:solidFill>
              <a:schemeClr val="accent6">
                <a:lumMod val="75000"/>
              </a:schemeClr>
            </a:solidFill>
          </c:spPr>
          <c:dPt>
            <c:idx val="0"/>
            <c:bubble3D val="0"/>
            <c:spPr>
              <a:solidFill>
                <a:schemeClr val="accent6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060-4261-9AD4-915ED938782D}"/>
              </c:ext>
            </c:extLst>
          </c:dPt>
          <c:dPt>
            <c:idx val="1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060-4261-9AD4-915ED938782D}"/>
              </c:ext>
            </c:extLst>
          </c:dPt>
          <c:dLbls>
            <c:dLbl>
              <c:idx val="0"/>
              <c:layout>
                <c:manualLayout>
                  <c:x val="0.32254467764908223"/>
                  <c:y val="-3.888699300261423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Domestic</a:t>
                    </a:r>
                    <a:r>
                      <a:rPr lang="en-US" baseline="0"/>
                      <a:t>
</a:t>
                    </a:r>
                    <a:fld id="{6BBBD5C1-7ADA-4A9F-B2C4-10F2183694E2}" type="PERCENTAGE">
                      <a:rPr lang="en-US" baseline="0"/>
                      <a:pPr/>
                      <a:t>[PORCENTAJE]</a:t>
                    </a:fld>
                    <a:endParaRPr lang="en-US" baseline="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8060-4261-9AD4-915ED938782D}"/>
                </c:ext>
              </c:extLst>
            </c:dLbl>
            <c:dLbl>
              <c:idx val="1"/>
              <c:layout>
                <c:manualLayout>
                  <c:x val="-0.24166666666666667"/>
                  <c:y val="-4.6296296296296294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International
</a:t>
                    </a:r>
                    <a:fld id="{909BDF65-41F4-457E-8CE6-961E5B1CF800}" type="PERCENTAGE">
                      <a:rPr lang="en-US" baseline="0"/>
                      <a:pPr/>
                      <a:t>[PORCENTAJE]</a:t>
                    </a:fld>
                    <a:endParaRPr lang="en-US" baseline="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8060-4261-9AD4-915ED938782D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j-lt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'Domèstic-internacional'!$C$4:$C$5</c:f>
              <c:strCache>
                <c:ptCount val="2"/>
                <c:pt idx="0">
                  <c:v>Domèstic</c:v>
                </c:pt>
                <c:pt idx="1">
                  <c:v>Internacional</c:v>
                </c:pt>
              </c:strCache>
            </c:strRef>
          </c:cat>
          <c:val>
            <c:numRef>
              <c:f>'Domèstic-internacional'!$D$4:$D$5</c:f>
              <c:numCache>
                <c:formatCode>General</c:formatCode>
                <c:ptCount val="2"/>
                <c:pt idx="0">
                  <c:v>21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060-4261-9AD4-915ED93878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5"/>
      </c:doughnutChart>
      <c:spPr>
        <a:noFill/>
        <a:ln w="9525"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  <c:userShapes r:id="rId4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41981962231519"/>
          <c:y val="4.4788975021533159E-2"/>
          <c:w val="0.86878710926795399"/>
          <c:h val="0.844329691346721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j-lt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Quantia!$C$25:$C$31</c:f>
              <c:strCache>
                <c:ptCount val="7"/>
                <c:pt idx="0">
                  <c:v>Total amount</c:v>
                </c:pt>
                <c:pt idx="1">
                  <c:v>Total amount without variations amount</c:v>
                </c:pt>
                <c:pt idx="2">
                  <c:v>Quantity variations</c:v>
                </c:pt>
                <c:pt idx="3">
                  <c:v>Minimum amount</c:v>
                </c:pt>
                <c:pt idx="4">
                  <c:v>Maximum amount</c:v>
                </c:pt>
                <c:pt idx="5">
                  <c:v>Average amount with no variations amount</c:v>
                </c:pt>
                <c:pt idx="6">
                  <c:v>Average amount with variations in amount</c:v>
                </c:pt>
              </c:strCache>
            </c:strRef>
          </c:cat>
          <c:val>
            <c:numRef>
              <c:f>Quantia!$D$25:$D$31</c:f>
              <c:numCache>
                <c:formatCode>#,##0.00\ "€";[Red]#,##0.00\ "€"</c:formatCode>
                <c:ptCount val="7"/>
                <c:pt idx="0">
                  <c:v>17904101.010000002</c:v>
                </c:pt>
                <c:pt idx="1">
                  <c:v>15313912.350000001</c:v>
                </c:pt>
                <c:pt idx="2">
                  <c:v>2590188.6599999997</c:v>
                </c:pt>
                <c:pt idx="3">
                  <c:v>6300</c:v>
                </c:pt>
                <c:pt idx="4">
                  <c:v>11490856.970000001</c:v>
                </c:pt>
                <c:pt idx="5">
                  <c:v>696086.92500000005</c:v>
                </c:pt>
                <c:pt idx="6">
                  <c:v>813822.77318181831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FC-4659-9EC2-70BAECE1AE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7522048"/>
        <c:axId val="227523584"/>
      </c:barChart>
      <c:catAx>
        <c:axId val="227522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n-ea"/>
                <a:cs typeface="+mn-cs"/>
              </a:defRPr>
            </a:pPr>
            <a:endParaRPr lang="es-ES"/>
          </a:p>
        </c:txPr>
        <c:crossAx val="227523584"/>
        <c:crosses val="autoZero"/>
        <c:auto val="1"/>
        <c:lblAlgn val="ctr"/>
        <c:lblOffset val="100"/>
        <c:noMultiLvlLbl val="0"/>
      </c:catAx>
      <c:valAx>
        <c:axId val="227523584"/>
        <c:scaling>
          <c:orientation val="minMax"/>
        </c:scaling>
        <c:delete val="0"/>
        <c:axPos val="l"/>
        <c:numFmt formatCode="#,##0.00\ &quot;€&quot;;[Red]#,##0.00\ &quot;€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j-lt"/>
                <a:ea typeface="+mn-ea"/>
                <a:cs typeface="+mn-cs"/>
              </a:defRPr>
            </a:pPr>
            <a:endParaRPr lang="es-ES"/>
          </a:p>
        </c:txPr>
        <c:crossAx val="227522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>
          <a:latin typeface="+mj-lt"/>
        </a:defRPr>
      </a:pPr>
      <a:endParaRPr lang="es-E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938017638654651"/>
          <c:y val="0.12680885361770725"/>
          <c:w val="0.55582816813655445"/>
          <c:h val="0.80201190402380795"/>
        </c:manualLayout>
      </c:layout>
      <c:doughnutChart>
        <c:varyColors val="1"/>
        <c:ser>
          <c:idx val="0"/>
          <c:order val="0"/>
          <c:spPr>
            <a:solidFill>
              <a:schemeClr val="accent6">
                <a:lumMod val="75000"/>
              </a:schemeClr>
            </a:solidFill>
          </c:spPr>
          <c:dPt>
            <c:idx val="0"/>
            <c:bubble3D val="0"/>
            <c:explosion val="1"/>
            <c:spPr>
              <a:solidFill>
                <a:schemeClr val="accent6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2A2-4EE7-A8B5-E931BE9E3CD6}"/>
              </c:ext>
            </c:extLst>
          </c:dPt>
          <c:dPt>
            <c:idx val="1"/>
            <c:bubble3D val="0"/>
            <c:spPr>
              <a:solidFill>
                <a:schemeClr val="accent6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2A2-4EE7-A8B5-E931BE9E3CD6}"/>
              </c:ext>
            </c:extLst>
          </c:dPt>
          <c:dPt>
            <c:idx val="2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2A2-4EE7-A8B5-E931BE9E3CD6}"/>
              </c:ext>
            </c:extLst>
          </c:dPt>
          <c:dPt>
            <c:idx val="3"/>
            <c:bubble3D val="0"/>
            <c:spPr>
              <a:solidFill>
                <a:schemeClr val="accent6">
                  <a:lumMod val="20000"/>
                  <a:lumOff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2A2-4EE7-A8B5-E931BE9E3CD6}"/>
              </c:ext>
            </c:extLst>
          </c:dPt>
          <c:dLbls>
            <c:dLbl>
              <c:idx val="0"/>
              <c:layout>
                <c:manualLayout>
                  <c:x val="0.1350055844083318"/>
                  <c:y val="-0.27754110307317681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2A2-4EE7-A8B5-E931BE9E3CD6}"/>
                </c:ext>
              </c:extLst>
            </c:dLbl>
            <c:dLbl>
              <c:idx val="1"/>
              <c:layout>
                <c:manualLayout>
                  <c:x val="-0.16813185485170426"/>
                  <c:y val="7.4135098270196542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baseline="0">
                      <a:solidFill>
                        <a:sysClr val="windowText" lastClr="000000"/>
                      </a:solidFill>
                      <a:latin typeface="+mj-lt"/>
                      <a:ea typeface="+mn-ea"/>
                      <a:cs typeface="+mn-cs"/>
                    </a:defRPr>
                  </a:pPr>
                  <a:endParaRPr lang="es-E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14495057798626235"/>
                      <c:h val="7.207052842999590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E2A2-4EE7-A8B5-E931BE9E3CD6}"/>
                </c:ext>
              </c:extLst>
            </c:dLbl>
            <c:dLbl>
              <c:idx val="2"/>
              <c:layout>
                <c:manualLayout>
                  <c:x val="-0.16543265203551683"/>
                  <c:y val="-0.10554416025310606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baseline="0">
                      <a:solidFill>
                        <a:sysClr val="windowText" lastClr="000000"/>
                      </a:solidFill>
                      <a:latin typeface="+mj-lt"/>
                      <a:ea typeface="+mn-ea"/>
                      <a:cs typeface="+mn-cs"/>
                    </a:defRPr>
                  </a:pPr>
                  <a:endParaRPr lang="es-E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14127034120734908"/>
                      <c:h val="8.44749019190445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E2A2-4EE7-A8B5-E931BE9E3CD6}"/>
                </c:ext>
              </c:extLst>
            </c:dLbl>
            <c:dLbl>
              <c:idx val="3"/>
              <c:layout>
                <c:manualLayout>
                  <c:x val="-6.7375886524822723E-2"/>
                  <c:y val="-0.12132347452053821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2A2-4EE7-A8B5-E931BE9E3CD6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ysClr val="windowText" lastClr="000000"/>
                    </a:solidFill>
                    <a:latin typeface="+mj-lt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'Trams quantia'!$O$20:$O$23</c:f>
              <c:strCache>
                <c:ptCount val="4"/>
                <c:pt idx="0">
                  <c:v>Fins a 20.000€</c:v>
                </c:pt>
                <c:pt idx="1">
                  <c:v>de 20.001€ a 600.000€</c:v>
                </c:pt>
                <c:pt idx="2">
                  <c:v>de 600.001€ a 1.500.000€</c:v>
                </c:pt>
                <c:pt idx="3">
                  <c:v>superior a 1.500.000,-€</c:v>
                </c:pt>
              </c:strCache>
            </c:strRef>
          </c:cat>
          <c:val>
            <c:numRef>
              <c:f>'Trams quantia'!$Q$20:$Q$23</c:f>
              <c:numCache>
                <c:formatCode>0%</c:formatCode>
                <c:ptCount val="4"/>
                <c:pt idx="0">
                  <c:v>0.36363636363636365</c:v>
                </c:pt>
                <c:pt idx="1">
                  <c:v>0.5</c:v>
                </c:pt>
                <c:pt idx="2">
                  <c:v>9.0909090909090912E-2</c:v>
                </c:pt>
                <c:pt idx="3">
                  <c:v>4.5454545454545456E-2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2A2-4EE7-A8B5-E931BE9E3C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5"/>
      </c:doughnutChart>
      <c:spPr>
        <a:noFill/>
        <a:ln w="9525">
          <a:noFill/>
        </a:ln>
        <a:effectLst/>
      </c:spPr>
    </c:plotArea>
    <c:legend>
      <c:legendPos val="r"/>
      <c:layout>
        <c:manualLayout>
          <c:xMode val="edge"/>
          <c:yMode val="edge"/>
          <c:x val="0.78723399684179995"/>
          <c:y val="0.13142360034720069"/>
          <c:w val="0.20921985815602837"/>
          <c:h val="0.798079400914046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5219003738069862"/>
          <c:y val="2.5951147998392087E-3"/>
          <c:w val="0.70177521477937532"/>
          <c:h val="0.95596203321119511"/>
        </c:manualLayout>
      </c:layout>
      <c:barChart>
        <c:barDir val="bar"/>
        <c:grouping val="clustered"/>
        <c:varyColors val="0"/>
        <c:ser>
          <c:idx val="1"/>
          <c:order val="1"/>
          <c:tx>
            <c:strRef>
              <c:f>Durada!$J$26</c:f>
              <c:strCache>
                <c:ptCount val="1"/>
                <c:pt idx="0">
                  <c:v>months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j-lt"/>
                    <a:ea typeface="+mn-ea"/>
                    <a:cs typeface="+mn-cs"/>
                  </a:defRPr>
                </a:pPr>
                <a:endParaRPr lang="es-E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Durada!$G$27:$H$31</c:f>
              <c:multiLvlStrCache>
                <c:ptCount val="4"/>
                <c:lvl>
                  <c:pt idx="1">
                    <c:v>trimmed mean</c:v>
                  </c:pt>
                  <c:pt idx="3">
                    <c:v>trimmed mean</c:v>
                  </c:pt>
                </c:lvl>
                <c:lvl>
                  <c:pt idx="1">
                    <c:v>Pre-arbitration</c:v>
                  </c:pt>
                  <c:pt idx="3">
                    <c:v>Arbitration</c:v>
                  </c:pt>
                </c:lvl>
              </c:multiLvlStrCache>
            </c:multiLvlStrRef>
          </c:cat>
          <c:val>
            <c:numRef>
              <c:f>Durada!$J$27:$J$31</c:f>
              <c:numCache>
                <c:formatCode>#,##0.0</c:formatCode>
                <c:ptCount val="5"/>
                <c:pt idx="1">
                  <c:v>4.1187499999999995</c:v>
                </c:pt>
                <c:pt idx="3">
                  <c:v>6.6291666666666655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2D-4C3A-ACC8-EC995AD00B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72384848"/>
        <c:axId val="472382448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Durada!$I$26</c15:sqref>
                        </c15:formulaRef>
                      </c:ext>
                    </c:extLst>
                    <c:strCache>
                      <c:ptCount val="1"/>
                      <c:pt idx="0">
                        <c:v>dies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multiLvlStrRef>
                    <c:extLst>
                      <c:ext uri="{02D57815-91ED-43cb-92C2-25804820EDAC}">
                        <c15:formulaRef>
                          <c15:sqref>Durada!$G$27:$H$31</c15:sqref>
                        </c15:formulaRef>
                      </c:ext>
                    </c:extLst>
                    <c:multiLvlStrCache>
                      <c:ptCount val="4"/>
                      <c:lvl>
                        <c:pt idx="1">
                          <c:v>trimmed mean</c:v>
                        </c:pt>
                        <c:pt idx="3">
                          <c:v>trimmed mean</c:v>
                        </c:pt>
                      </c:lvl>
                      <c:lvl>
                        <c:pt idx="1">
                          <c:v>Pre-arbitration</c:v>
                        </c:pt>
                        <c:pt idx="3">
                          <c:v>Arbitration</c:v>
                        </c:pt>
                      </c:lvl>
                    </c:multiLvlStrCache>
                  </c:multiLvlStrRef>
                </c:cat>
                <c:val>
                  <c:numRef>
                    <c:extLst>
                      <c:ext uri="{02D57815-91ED-43cb-92C2-25804820EDAC}">
                        <c15:formulaRef>
                          <c15:sqref>Durada!$I$27:$I$31</c15:sqref>
                        </c15:formulaRef>
                      </c:ext>
                    </c:extLst>
                    <c:numCache>
                      <c:formatCode>#,##0.0</c:formatCode>
                      <c:ptCount val="5"/>
                      <c:pt idx="1">
                        <c:v>123.5625</c:v>
                      </c:pt>
                      <c:pt idx="3">
                        <c:v>198.875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562D-4C3A-ACC8-EC995AD00B68}"/>
                  </c:ext>
                </c:extLst>
              </c15:ser>
            </c15:filteredBarSeries>
          </c:ext>
        </c:extLst>
      </c:barChart>
      <c:catAx>
        <c:axId val="4723848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1" i="0" u="none" strike="noStrike" kern="1200" baseline="0">
                <a:solidFill>
                  <a:sysClr val="windowText" lastClr="000000"/>
                </a:solidFill>
                <a:latin typeface="+mj-lt"/>
                <a:ea typeface="+mn-ea"/>
                <a:cs typeface="+mn-cs"/>
              </a:defRPr>
            </a:pPr>
            <a:endParaRPr lang="es-ES"/>
          </a:p>
        </c:txPr>
        <c:crossAx val="472382448"/>
        <c:crosses val="autoZero"/>
        <c:auto val="1"/>
        <c:lblAlgn val="ctr"/>
        <c:lblOffset val="100"/>
        <c:noMultiLvlLbl val="0"/>
      </c:catAx>
      <c:valAx>
        <c:axId val="472382448"/>
        <c:scaling>
          <c:orientation val="minMax"/>
        </c:scaling>
        <c:delete val="1"/>
        <c:axPos val="b"/>
        <c:numFmt formatCode="#,##0.0" sourceLinked="1"/>
        <c:majorTickMark val="none"/>
        <c:minorTickMark val="none"/>
        <c:tickLblPos val="nextTo"/>
        <c:crossAx val="472384848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1" i="0" u="none" strike="noStrike" kern="1200" baseline="0">
              <a:solidFill>
                <a:sysClr val="windowText" lastClr="000000"/>
              </a:solidFill>
              <a:latin typeface="+mj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="1">
          <a:solidFill>
            <a:sysClr val="windowText" lastClr="000000"/>
          </a:solidFill>
          <a:latin typeface="+mj-lt"/>
        </a:defRPr>
      </a:pPr>
      <a:endParaRPr lang="es-E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9594809723194765"/>
          <c:y val="3.8461714024877323E-2"/>
          <c:w val="0.66049473398402336"/>
          <c:h val="0.7498599882372563"/>
        </c:manualLayout>
      </c:layout>
      <c:barChart>
        <c:barDir val="bar"/>
        <c:grouping val="clustered"/>
        <c:varyColors val="0"/>
        <c:ser>
          <c:idx val="1"/>
          <c:order val="1"/>
          <c:tx>
            <c:strRef>
              <c:f>Durada!$J$63</c:f>
              <c:strCache>
                <c:ptCount val="1"/>
                <c:pt idx="0">
                  <c:v>months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j-lt"/>
                    <a:ea typeface="+mn-ea"/>
                    <a:cs typeface="+mn-cs"/>
                  </a:defRPr>
                </a:pPr>
                <a:endParaRPr lang="es-E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Durada!$G$64:$H$70</c:f>
              <c:multiLvlStrCache>
                <c:ptCount val="6"/>
                <c:lvl>
                  <c:pt idx="1">
                    <c:v>trimmed mean</c:v>
                  </c:pt>
                  <c:pt idx="3">
                    <c:v>trimmed mean</c:v>
                  </c:pt>
                  <c:pt idx="5">
                    <c:v>trimmed mean</c:v>
                  </c:pt>
                </c:lvl>
                <c:lvl>
                  <c:pt idx="1">
                    <c:v>Pre arbitration</c:v>
                  </c:pt>
                  <c:pt idx="3">
                    <c:v>Arbitration</c:v>
                  </c:pt>
                  <c:pt idx="5">
                    <c:v>Total</c:v>
                  </c:pt>
                </c:lvl>
              </c:multiLvlStrCache>
            </c:multiLvlStrRef>
          </c:cat>
          <c:val>
            <c:numRef>
              <c:f>Durada!$J$64:$J$70</c:f>
              <c:numCache>
                <c:formatCode>0.0</c:formatCode>
                <c:ptCount val="7"/>
                <c:pt idx="1">
                  <c:v>4.4000000000000004</c:v>
                </c:pt>
                <c:pt idx="3">
                  <c:v>8.5208333333333339</c:v>
                </c:pt>
                <c:pt idx="5">
                  <c:v>12.987500000000006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F7-4E75-AC4C-600F252FC24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077305328"/>
        <c:axId val="2077305808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Durada!$I$63</c15:sqref>
                        </c15:formulaRef>
                      </c:ext>
                    </c:extLst>
                    <c:strCache>
                      <c:ptCount val="1"/>
                      <c:pt idx="0">
                        <c:v>dies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s-E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multiLvlStrRef>
                    <c:extLst>
                      <c:ext uri="{02D57815-91ED-43cb-92C2-25804820EDAC}">
                        <c15:formulaRef>
                          <c15:sqref>Durada!$G$64:$H$70</c15:sqref>
                        </c15:formulaRef>
                      </c:ext>
                    </c:extLst>
                    <c:multiLvlStrCache>
                      <c:ptCount val="6"/>
                      <c:lvl>
                        <c:pt idx="1">
                          <c:v>trimmed mean</c:v>
                        </c:pt>
                        <c:pt idx="3">
                          <c:v>trimmed mean</c:v>
                        </c:pt>
                        <c:pt idx="5">
                          <c:v>trimmed mean</c:v>
                        </c:pt>
                      </c:lvl>
                      <c:lvl>
                        <c:pt idx="1">
                          <c:v>Pre arbitration</c:v>
                        </c:pt>
                        <c:pt idx="3">
                          <c:v>Arbitration</c:v>
                        </c:pt>
                        <c:pt idx="5">
                          <c:v>Total</c:v>
                        </c:pt>
                      </c:lvl>
                    </c:multiLvlStrCache>
                  </c:multiLvlStrRef>
                </c:cat>
                <c:val>
                  <c:numRef>
                    <c:extLst>
                      <c:ext uri="{02D57815-91ED-43cb-92C2-25804820EDAC}">
                        <c15:formulaRef>
                          <c15:sqref>Durada!$I$64:$I$70</c15:sqref>
                        </c15:formulaRef>
                      </c:ext>
                    </c:extLst>
                    <c:numCache>
                      <c:formatCode>0.0</c:formatCode>
                      <c:ptCount val="7"/>
                      <c:pt idx="1">
                        <c:v>132</c:v>
                      </c:pt>
                      <c:pt idx="3">
                        <c:v>255.625</c:v>
                      </c:pt>
                      <c:pt idx="5">
                        <c:v>389.625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B8F7-4E75-AC4C-600F252FC240}"/>
                  </c:ext>
                </c:extLst>
              </c15:ser>
            </c15:filteredBarSeries>
          </c:ext>
        </c:extLst>
      </c:barChart>
      <c:catAx>
        <c:axId val="20773053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1" i="0" u="none" strike="noStrike" kern="1200" baseline="0">
                <a:solidFill>
                  <a:sysClr val="windowText" lastClr="000000"/>
                </a:solidFill>
                <a:latin typeface="+mj-lt"/>
                <a:ea typeface="+mn-ea"/>
                <a:cs typeface="+mn-cs"/>
              </a:defRPr>
            </a:pPr>
            <a:endParaRPr lang="es-ES"/>
          </a:p>
        </c:txPr>
        <c:crossAx val="2077305808"/>
        <c:crosses val="autoZero"/>
        <c:auto val="1"/>
        <c:lblAlgn val="ctr"/>
        <c:lblOffset val="100"/>
        <c:noMultiLvlLbl val="0"/>
      </c:catAx>
      <c:valAx>
        <c:axId val="2077305808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2077305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1" i="0" u="none" strike="noStrike" kern="1200" baseline="0">
              <a:solidFill>
                <a:sysClr val="windowText" lastClr="000000"/>
              </a:solidFill>
              <a:latin typeface="+mj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8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lt1"/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0.36702</cdr:x>
      <cdr:y>0.41938</cdr:y>
    </cdr:from>
    <cdr:to>
      <cdr:x>0.5966</cdr:x>
      <cdr:y>0.5532</cdr:y>
    </cdr:to>
    <cdr:sp macro="" textlink="">
      <cdr:nvSpPr>
        <cdr:cNvPr id="2" name="CuadroTexto 1">
          <a:extLst xmlns:a="http://schemas.openxmlformats.org/drawingml/2006/main">
            <a:ext uri="{FF2B5EF4-FFF2-40B4-BE49-F238E27FC236}">
              <a16:creationId xmlns:a16="http://schemas.microsoft.com/office/drawing/2014/main" id="{A4F6B887-B6AA-491B-BF13-D16641741A59}"/>
            </a:ext>
          </a:extLst>
        </cdr:cNvPr>
        <cdr:cNvSpPr txBox="1"/>
      </cdr:nvSpPr>
      <cdr:spPr>
        <a:xfrm xmlns:a="http://schemas.openxmlformats.org/drawingml/2006/main">
          <a:off x="1354083" y="876139"/>
          <a:ext cx="847001" cy="2795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es-ES" sz="1200" b="1" kern="1200">
              <a:latin typeface="+mj-lt"/>
            </a:rPr>
            <a:t>SUBJECTS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0.39021</cdr:x>
      <cdr:y>0.41204</cdr:y>
    </cdr:from>
    <cdr:to>
      <cdr:x>0.58069</cdr:x>
      <cdr:y>0.74537</cdr:y>
    </cdr:to>
    <cdr:sp macro="" textlink="">
      <cdr:nvSpPr>
        <cdr:cNvPr id="3" name="CuadroTexto 2">
          <a:extLst xmlns:a="http://schemas.openxmlformats.org/drawingml/2006/main">
            <a:ext uri="{FF2B5EF4-FFF2-40B4-BE49-F238E27FC236}">
              <a16:creationId xmlns:a16="http://schemas.microsoft.com/office/drawing/2014/main" id="{4584DA73-E413-E6BF-F89C-CFB2524B26A4}"/>
            </a:ext>
          </a:extLst>
        </cdr:cNvPr>
        <cdr:cNvSpPr txBox="1"/>
      </cdr:nvSpPr>
      <cdr:spPr>
        <a:xfrm xmlns:a="http://schemas.openxmlformats.org/drawingml/2006/main">
          <a:off x="1873250" y="11303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s-ES" sz="1100" kern="1200"/>
        </a:p>
      </cdr:txBody>
    </cdr:sp>
  </cdr:relSizeAnchor>
  <cdr:relSizeAnchor xmlns:cdr="http://schemas.openxmlformats.org/drawingml/2006/chartDrawing">
    <cdr:from>
      <cdr:x>0.32083</cdr:x>
      <cdr:y>0.40281</cdr:y>
    </cdr:from>
    <cdr:to>
      <cdr:x>0.63333</cdr:x>
      <cdr:y>0.56112</cdr:y>
    </cdr:to>
    <cdr:sp macro="" textlink="">
      <cdr:nvSpPr>
        <cdr:cNvPr id="2" name="Cuadro de texto 1"/>
        <cdr:cNvSpPr txBox="1"/>
      </cdr:nvSpPr>
      <cdr:spPr>
        <a:xfrm xmlns:a="http://schemas.openxmlformats.org/drawingml/2006/main">
          <a:off x="1466850" y="1276350"/>
          <a:ext cx="1428750" cy="5016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s-ES" sz="1100" b="1" kern="1200">
              <a:latin typeface="+mj-lt"/>
            </a:rPr>
            <a:t>      </a:t>
          </a:r>
        </a:p>
        <a:p xmlns:a="http://schemas.openxmlformats.org/drawingml/2006/main">
          <a:r>
            <a:rPr lang="es-ES" sz="1100" b="1" kern="1200">
              <a:latin typeface="+mj-lt"/>
            </a:rPr>
            <a:t>   </a:t>
          </a:r>
          <a:r>
            <a:rPr lang="es-ES" sz="1400" b="1" kern="1200">
              <a:latin typeface="+mj-lt"/>
            </a:rPr>
            <a:t>TIPUS  ARBITRATGE</a:t>
          </a:r>
        </a:p>
      </cdr:txBody>
    </cdr:sp>
  </cdr:relSizeAnchor>
  <cdr:relSizeAnchor xmlns:cdr="http://schemas.openxmlformats.org/drawingml/2006/chartDrawing">
    <cdr:from>
      <cdr:x>0.44923</cdr:x>
      <cdr:y>0.44268</cdr:y>
    </cdr:from>
    <cdr:to>
      <cdr:x>0.69707</cdr:x>
      <cdr:y>0.90127</cdr:y>
    </cdr:to>
    <cdr:sp macro="" textlink="">
      <cdr:nvSpPr>
        <cdr:cNvPr id="4" name="Cuadro de texto 3"/>
        <cdr:cNvSpPr txBox="1"/>
      </cdr:nvSpPr>
      <cdr:spPr>
        <a:xfrm xmlns:a="http://schemas.openxmlformats.org/drawingml/2006/main">
          <a:off x="1657350" y="88265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s-ES" sz="1100" kern="1200"/>
        </a:p>
      </cdr:txBody>
    </cdr:sp>
  </cdr:relSizeAnchor>
  <cdr:relSizeAnchor xmlns:cdr="http://schemas.openxmlformats.org/drawingml/2006/chartDrawing">
    <cdr:from>
      <cdr:x>0.40149</cdr:x>
      <cdr:y>0.33758</cdr:y>
    </cdr:from>
    <cdr:to>
      <cdr:x>0.68847</cdr:x>
      <cdr:y>0.63057</cdr:y>
    </cdr:to>
    <cdr:sp macro="" textlink="">
      <cdr:nvSpPr>
        <cdr:cNvPr id="5" name="Cuadro de texto 4"/>
        <cdr:cNvSpPr txBox="1"/>
      </cdr:nvSpPr>
      <cdr:spPr>
        <a:xfrm xmlns:a="http://schemas.openxmlformats.org/drawingml/2006/main">
          <a:off x="1371601" y="724547"/>
          <a:ext cx="980414" cy="62885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s-ES" sz="1100" b="1" kern="1200">
              <a:latin typeface="+mj-lt"/>
            </a:rPr>
            <a:t>      TYPE</a:t>
          </a:r>
          <a:r>
            <a:rPr lang="es-ES" sz="1100" b="1" kern="1200" baseline="0">
              <a:latin typeface="+mj-lt"/>
            </a:rPr>
            <a:t> OF </a:t>
          </a:r>
        </a:p>
        <a:p xmlns:a="http://schemas.openxmlformats.org/drawingml/2006/main">
          <a:r>
            <a:rPr lang="es-ES" sz="1100" b="1" kern="1200" baseline="0">
              <a:latin typeface="+mj-lt"/>
            </a:rPr>
            <a:t>ARBITRATION</a:t>
          </a:r>
          <a:endParaRPr lang="es-ES" sz="1100" b="1" kern="1200">
            <a:latin typeface="+mj-lt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0.34232</cdr:x>
      <cdr:y>0.44271</cdr:y>
    </cdr:from>
    <cdr:to>
      <cdr:x>0.63123</cdr:x>
      <cdr:y>0.66138</cdr:y>
    </cdr:to>
    <cdr:sp macro="" textlink="">
      <cdr:nvSpPr>
        <cdr:cNvPr id="2" name="CuadroTexto 1">
          <a:extLst xmlns:a="http://schemas.openxmlformats.org/drawingml/2006/main">
            <a:ext uri="{FF2B5EF4-FFF2-40B4-BE49-F238E27FC236}">
              <a16:creationId xmlns:a16="http://schemas.microsoft.com/office/drawing/2014/main" id="{A93845B2-9325-F444-B7C1-6274B383D928}"/>
            </a:ext>
          </a:extLst>
        </cdr:cNvPr>
        <cdr:cNvSpPr txBox="1"/>
      </cdr:nvSpPr>
      <cdr:spPr>
        <a:xfrm xmlns:a="http://schemas.openxmlformats.org/drawingml/2006/main">
          <a:off x="1257300" y="1039023"/>
          <a:ext cx="1061107" cy="51320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es-ES" sz="1100" b="1" kern="1200">
              <a:solidFill>
                <a:sysClr val="windowText" lastClr="000000"/>
              </a:solidFill>
              <a:latin typeface="+mj-lt"/>
            </a:rPr>
            <a:t>GENDER </a:t>
          </a:r>
        </a:p>
        <a:p xmlns:a="http://schemas.openxmlformats.org/drawingml/2006/main">
          <a:pPr algn="ctr"/>
          <a:r>
            <a:rPr lang="es-ES" sz="1100" b="1" kern="1200">
              <a:solidFill>
                <a:sysClr val="windowText" lastClr="000000"/>
              </a:solidFill>
              <a:latin typeface="+mj-lt"/>
            </a:rPr>
            <a:t>PARITY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0.36578</cdr:x>
      <cdr:y>0.40672</cdr:y>
    </cdr:from>
    <cdr:to>
      <cdr:x>0.6144</cdr:x>
      <cdr:y>0.6194</cdr:y>
    </cdr:to>
    <cdr:sp macro="" textlink="">
      <cdr:nvSpPr>
        <cdr:cNvPr id="2" name="Cuadro de texto 1"/>
        <cdr:cNvSpPr txBox="1"/>
      </cdr:nvSpPr>
      <cdr:spPr>
        <a:xfrm xmlns:a="http://schemas.openxmlformats.org/drawingml/2006/main">
          <a:off x="1358767" y="1038234"/>
          <a:ext cx="923575" cy="5429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s-ES" sz="1100" b="1" kern="1200">
              <a:latin typeface="+mj-lt"/>
            </a:rPr>
            <a:t>      </a:t>
          </a:r>
        </a:p>
        <a:p xmlns:a="http://schemas.openxmlformats.org/drawingml/2006/main">
          <a:pPr algn="ctr"/>
          <a:r>
            <a:rPr lang="es-ES" sz="1100" b="1" kern="1200">
              <a:latin typeface="+mj-lt"/>
            </a:rPr>
            <a:t>       LANGUAGE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0.36478</cdr:x>
      <cdr:y>0.41136</cdr:y>
    </cdr:from>
    <cdr:to>
      <cdr:x>0.64623</cdr:x>
      <cdr:y>0.69773</cdr:y>
    </cdr:to>
    <cdr:sp macro="" textlink="">
      <cdr:nvSpPr>
        <cdr:cNvPr id="2" name="CuadroTexto 1">
          <a:extLst xmlns:a="http://schemas.openxmlformats.org/drawingml/2006/main">
            <a:ext uri="{FF2B5EF4-FFF2-40B4-BE49-F238E27FC236}">
              <a16:creationId xmlns:a16="http://schemas.microsoft.com/office/drawing/2014/main" id="{224C19C7-766E-35B3-12EB-F935CE511921}"/>
            </a:ext>
          </a:extLst>
        </cdr:cNvPr>
        <cdr:cNvSpPr txBox="1"/>
      </cdr:nvSpPr>
      <cdr:spPr>
        <a:xfrm xmlns:a="http://schemas.openxmlformats.org/drawingml/2006/main">
          <a:off x="2209800" y="1724026"/>
          <a:ext cx="1704975" cy="12001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s-ES" sz="1100" kern="1200"/>
        </a:p>
      </cdr:txBody>
    </cdr:sp>
  </cdr:relSizeAnchor>
  <cdr:relSizeAnchor xmlns:cdr="http://schemas.openxmlformats.org/drawingml/2006/chartDrawing">
    <cdr:from>
      <cdr:x>0.29977</cdr:x>
      <cdr:y>0.37056</cdr:y>
    </cdr:from>
    <cdr:to>
      <cdr:x>0.65568</cdr:x>
      <cdr:y>0.5972</cdr:y>
    </cdr:to>
    <cdr:sp macro="" textlink="">
      <cdr:nvSpPr>
        <cdr:cNvPr id="3" name="CuadroTexto 2">
          <a:extLst xmlns:a="http://schemas.openxmlformats.org/drawingml/2006/main">
            <a:ext uri="{FF2B5EF4-FFF2-40B4-BE49-F238E27FC236}">
              <a16:creationId xmlns:a16="http://schemas.microsoft.com/office/drawing/2014/main" id="{425209BB-648A-DCCA-29E7-1488F28371E1}"/>
            </a:ext>
          </a:extLst>
        </cdr:cNvPr>
        <cdr:cNvSpPr txBox="1"/>
      </cdr:nvSpPr>
      <cdr:spPr>
        <a:xfrm xmlns:a="http://schemas.openxmlformats.org/drawingml/2006/main">
          <a:off x="1062188" y="1018877"/>
          <a:ext cx="1261096" cy="6231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es-ES" sz="1100" b="1" kern="1200">
              <a:latin typeface="+mj-lt"/>
            </a:rPr>
            <a:t>        INTERNATIONAL</a:t>
          </a:r>
        </a:p>
        <a:p xmlns:a="http://schemas.openxmlformats.org/drawingml/2006/main">
          <a:pPr algn="ctr"/>
          <a:r>
            <a:rPr lang="es-ES" sz="1100" b="1" kern="1200">
              <a:latin typeface="+mj-lt"/>
            </a:rPr>
            <a:t>     V/</a:t>
          </a:r>
        </a:p>
        <a:p xmlns:a="http://schemas.openxmlformats.org/drawingml/2006/main">
          <a:pPr algn="ctr"/>
          <a:r>
            <a:rPr lang="es-ES" sz="1100" b="1" kern="1200">
              <a:latin typeface="+mj-lt"/>
            </a:rPr>
            <a:t>     DOMESTIC</a:t>
          </a:r>
        </a:p>
        <a:p xmlns:a="http://schemas.openxmlformats.org/drawingml/2006/main">
          <a:endParaRPr lang="es-ES" sz="1100" kern="1200"/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0.30364</cdr:x>
      <cdr:y>0.47613</cdr:y>
    </cdr:from>
    <cdr:to>
      <cdr:x>0.64761</cdr:x>
      <cdr:y>0.6127</cdr:y>
    </cdr:to>
    <cdr:sp macro="" textlink="">
      <cdr:nvSpPr>
        <cdr:cNvPr id="2" name="Cuadro de texto 1"/>
        <cdr:cNvSpPr txBox="1"/>
      </cdr:nvSpPr>
      <cdr:spPr>
        <a:xfrm xmlns:a="http://schemas.openxmlformats.org/drawingml/2006/main">
          <a:off x="1130640" y="1228720"/>
          <a:ext cx="1280821" cy="35243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s-ES" sz="1100" b="1" kern="1200">
              <a:latin typeface="+mj-lt"/>
            </a:rPr>
            <a:t>  SECTIONS</a:t>
          </a:r>
          <a:r>
            <a:rPr lang="es-ES" sz="1100" b="1" kern="1200" baseline="0">
              <a:latin typeface="+mj-lt"/>
            </a:rPr>
            <a:t> AMOUNT</a:t>
          </a:r>
          <a:endParaRPr lang="es-ES" sz="1100" b="1" kern="1200">
            <a:latin typeface="+mj-lt"/>
          </a:endParaRP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0.35974</cdr:x>
      <cdr:y>0.47583</cdr:y>
    </cdr:from>
    <cdr:to>
      <cdr:x>0.63201</cdr:x>
      <cdr:y>0.7201</cdr:y>
    </cdr:to>
    <cdr:sp macro="" textlink="">
      <cdr:nvSpPr>
        <cdr:cNvPr id="2" name="CuadroTexto 1">
          <a:extLst xmlns:a="http://schemas.openxmlformats.org/drawingml/2006/main">
            <a:ext uri="{FF2B5EF4-FFF2-40B4-BE49-F238E27FC236}">
              <a16:creationId xmlns:a16="http://schemas.microsoft.com/office/drawing/2014/main" id="{16702A6D-887D-604C-F4B4-4BD284A61AC7}"/>
            </a:ext>
          </a:extLst>
        </cdr:cNvPr>
        <cdr:cNvSpPr txBox="1"/>
      </cdr:nvSpPr>
      <cdr:spPr>
        <a:xfrm xmlns:a="http://schemas.openxmlformats.org/drawingml/2006/main">
          <a:off x="2076449" y="1781176"/>
          <a:ext cx="1571625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s-ES" sz="1100" kern="1200"/>
        </a:p>
      </cdr:txBody>
    </cdr:sp>
  </cdr:relSizeAnchor>
  <cdr:relSizeAnchor xmlns:cdr="http://schemas.openxmlformats.org/drawingml/2006/chartDrawing">
    <cdr:from>
      <cdr:x>0.40435</cdr:x>
      <cdr:y>0.4145</cdr:y>
    </cdr:from>
    <cdr:to>
      <cdr:x>0.79138</cdr:x>
      <cdr:y>0.59362</cdr:y>
    </cdr:to>
    <cdr:sp macro="" textlink="">
      <cdr:nvSpPr>
        <cdr:cNvPr id="3" name="CuadroTexto 2">
          <a:extLst xmlns:a="http://schemas.openxmlformats.org/drawingml/2006/main">
            <a:ext uri="{FF2B5EF4-FFF2-40B4-BE49-F238E27FC236}">
              <a16:creationId xmlns:a16="http://schemas.microsoft.com/office/drawing/2014/main" id="{561D7C99-77A2-3A97-B3EA-16EA86824F84}"/>
            </a:ext>
          </a:extLst>
        </cdr:cNvPr>
        <cdr:cNvSpPr txBox="1"/>
      </cdr:nvSpPr>
      <cdr:spPr>
        <a:xfrm xmlns:a="http://schemas.openxmlformats.org/drawingml/2006/main">
          <a:off x="1353133" y="1002829"/>
          <a:ext cx="1295177" cy="43335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s-ES" sz="1000" b="1" kern="1200">
              <a:latin typeface="+mj-lt"/>
            </a:rPr>
            <a:t>ENFORCEMENT </a:t>
          </a:r>
        </a:p>
        <a:p xmlns:a="http://schemas.openxmlformats.org/drawingml/2006/main">
          <a:r>
            <a:rPr lang="es-ES" sz="1000" b="1" kern="1200">
              <a:latin typeface="+mj-lt"/>
            </a:rPr>
            <a:t>OF AN AWARD</a:t>
          </a:r>
        </a:p>
      </cdr:txBody>
    </cdr:sp>
  </cdr:relSizeAnchor>
</c:userShape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9FC78-70C9-43B6-843C-B76C0E9AD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402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Tribunal Arbitral de Barcelona TAB</dc:creator>
  <cp:keywords/>
  <dc:description/>
  <cp:lastModifiedBy>Secretaria TAB</cp:lastModifiedBy>
  <cp:revision>42</cp:revision>
  <cp:lastPrinted>2025-01-31T09:25:00Z</cp:lastPrinted>
  <dcterms:created xsi:type="dcterms:W3CDTF">2025-01-31T07:56:00Z</dcterms:created>
  <dcterms:modified xsi:type="dcterms:W3CDTF">2026-03-30T12:43:00Z</dcterms:modified>
</cp:coreProperties>
</file>