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3.xml" ContentType="application/vnd.openxmlformats-officedocument.themeOverrid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drawings/drawing6.xml" ContentType="application/vnd.openxmlformats-officedocument.drawingml.chartshapes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drawings/drawing7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3A621" w14:textId="5B42E8C9" w:rsidR="00CF2051" w:rsidRPr="005F2E1E" w:rsidRDefault="00650DEF" w:rsidP="00A518D2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5F2E1E">
        <w:rPr>
          <w:rFonts w:asciiTheme="majorHAnsi" w:hAnsiTheme="majorHAnsi" w:cstheme="majorHAnsi"/>
          <w:b/>
          <w:bCs/>
          <w:sz w:val="24"/>
          <w:szCs w:val="24"/>
        </w:rPr>
        <w:t>ESTADÍSTIQUES 2024</w:t>
      </w:r>
    </w:p>
    <w:p w14:paraId="48ECA419" w14:textId="57081BD6" w:rsidR="00753F5D" w:rsidRPr="005F2E1E" w:rsidRDefault="00753F5D" w:rsidP="00114D29">
      <w:pPr>
        <w:rPr>
          <w:rFonts w:asciiTheme="majorHAnsi" w:hAnsiTheme="majorHAnsi" w:cstheme="majorHAnsi"/>
        </w:rPr>
      </w:pPr>
    </w:p>
    <w:p w14:paraId="0EB35B56" w14:textId="77777777" w:rsidR="005A6A36" w:rsidRPr="005F2E1E" w:rsidRDefault="005A6A36" w:rsidP="00114D29">
      <w:pPr>
        <w:rPr>
          <w:rFonts w:asciiTheme="majorHAnsi" w:hAnsiTheme="majorHAnsi" w:cstheme="majorHAnsi"/>
          <w:sz w:val="18"/>
          <w:szCs w:val="18"/>
        </w:rPr>
      </w:pPr>
    </w:p>
    <w:p w14:paraId="4D370BFE" w14:textId="31AA3621" w:rsidR="00114D29" w:rsidRPr="0032670C" w:rsidRDefault="00753F5D" w:rsidP="005B3886">
      <w:pPr>
        <w:spacing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32670C">
        <w:rPr>
          <w:rFonts w:asciiTheme="majorHAnsi" w:hAnsiTheme="majorHAnsi" w:cstheme="majorHAnsi"/>
          <w:sz w:val="28"/>
          <w:szCs w:val="28"/>
        </w:rPr>
        <w:t xml:space="preserve">Durant l’any 2024 s’han administrat </w:t>
      </w:r>
      <w:r w:rsidRPr="0032670C">
        <w:rPr>
          <w:rFonts w:asciiTheme="majorHAnsi" w:hAnsiTheme="majorHAnsi" w:cstheme="majorHAnsi"/>
          <w:b/>
          <w:bCs/>
          <w:sz w:val="28"/>
          <w:szCs w:val="28"/>
        </w:rPr>
        <w:t>73</w:t>
      </w:r>
      <w:r w:rsidRPr="0032670C">
        <w:rPr>
          <w:rFonts w:asciiTheme="majorHAnsi" w:hAnsiTheme="majorHAnsi" w:cstheme="majorHAnsi"/>
          <w:sz w:val="28"/>
          <w:szCs w:val="28"/>
        </w:rPr>
        <w:t xml:space="preserve"> expedients dels quals 36 encarà estan en curs, s’han </w:t>
      </w:r>
      <w:r w:rsidR="00E10DE5" w:rsidRPr="0032670C">
        <w:rPr>
          <w:rFonts w:asciiTheme="majorHAnsi" w:hAnsiTheme="majorHAnsi" w:cstheme="majorHAnsi"/>
          <w:sz w:val="28"/>
          <w:szCs w:val="28"/>
        </w:rPr>
        <w:t>emès</w:t>
      </w:r>
      <w:r w:rsidRPr="0032670C">
        <w:rPr>
          <w:rFonts w:asciiTheme="majorHAnsi" w:hAnsiTheme="majorHAnsi" w:cstheme="majorHAnsi"/>
          <w:sz w:val="28"/>
          <w:szCs w:val="28"/>
        </w:rPr>
        <w:t xml:space="preserve"> </w:t>
      </w:r>
      <w:r w:rsidRPr="0032670C">
        <w:rPr>
          <w:rFonts w:asciiTheme="majorHAnsi" w:hAnsiTheme="majorHAnsi" w:cstheme="majorHAnsi"/>
          <w:b/>
          <w:bCs/>
          <w:sz w:val="28"/>
          <w:szCs w:val="28"/>
        </w:rPr>
        <w:t>22</w:t>
      </w:r>
      <w:r w:rsidRPr="0032670C">
        <w:rPr>
          <w:rFonts w:asciiTheme="majorHAnsi" w:hAnsiTheme="majorHAnsi" w:cstheme="majorHAnsi"/>
          <w:sz w:val="28"/>
          <w:szCs w:val="28"/>
        </w:rPr>
        <w:t xml:space="preserve"> laudes i s’ha liquidat 37 arbitratges.</w:t>
      </w:r>
    </w:p>
    <w:p w14:paraId="0BDE7229" w14:textId="6EC7EA44" w:rsidR="00753F5D" w:rsidRPr="005F2E1E" w:rsidRDefault="00753F5D" w:rsidP="00114D29">
      <w:pPr>
        <w:rPr>
          <w:rFonts w:asciiTheme="majorHAnsi" w:hAnsiTheme="majorHAnsi" w:cstheme="majorHAnsi"/>
          <w:sz w:val="18"/>
          <w:szCs w:val="18"/>
        </w:rPr>
      </w:pPr>
    </w:p>
    <w:p w14:paraId="67A6804D" w14:textId="51E3554C" w:rsidR="00753F5D" w:rsidRPr="005F2E1E" w:rsidRDefault="003347BE" w:rsidP="00114D29">
      <w:pPr>
        <w:rPr>
          <w:rFonts w:asciiTheme="majorHAnsi" w:hAnsiTheme="majorHAnsi" w:cstheme="majorHAnsi"/>
          <w:sz w:val="18"/>
          <w:szCs w:val="18"/>
        </w:rPr>
      </w:pPr>
      <w:r w:rsidRPr="005F2E1E">
        <w:rPr>
          <w:noProof/>
        </w:rPr>
        <w:drawing>
          <wp:anchor distT="0" distB="0" distL="114300" distR="114300" simplePos="0" relativeHeight="251659264" behindDoc="1" locked="0" layoutInCell="1" allowOverlap="1" wp14:anchorId="6D83B7FF" wp14:editId="51E0D580">
            <wp:simplePos x="0" y="0"/>
            <wp:positionH relativeFrom="margin">
              <wp:posOffset>95250</wp:posOffset>
            </wp:positionH>
            <wp:positionV relativeFrom="page">
              <wp:posOffset>2398395</wp:posOffset>
            </wp:positionV>
            <wp:extent cx="3689350" cy="2301240"/>
            <wp:effectExtent l="0" t="0" r="6350" b="3810"/>
            <wp:wrapTight wrapText="bothSides">
              <wp:wrapPolygon edited="0">
                <wp:start x="0" y="0"/>
                <wp:lineTo x="0" y="21457"/>
                <wp:lineTo x="21526" y="21457"/>
                <wp:lineTo x="21526" y="0"/>
                <wp:lineTo x="0" y="0"/>
              </wp:wrapPolygon>
            </wp:wrapTight>
            <wp:docPr id="163200240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B71469F-2BDF-77CA-9F36-741D97B256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C2E052" w14:textId="16152F8D" w:rsidR="00E24138" w:rsidRPr="005F2E1E" w:rsidRDefault="00E24138" w:rsidP="00114D29">
      <w:pPr>
        <w:rPr>
          <w:rFonts w:asciiTheme="majorHAnsi" w:hAnsiTheme="majorHAnsi" w:cstheme="majorHAnsi"/>
          <w:sz w:val="18"/>
          <w:szCs w:val="18"/>
        </w:rPr>
      </w:pPr>
    </w:p>
    <w:p w14:paraId="023964E5" w14:textId="661F17DD" w:rsidR="00E24138" w:rsidRPr="005F2E1E" w:rsidRDefault="00E24138" w:rsidP="00114D29">
      <w:pPr>
        <w:rPr>
          <w:rFonts w:asciiTheme="majorHAnsi" w:hAnsiTheme="majorHAnsi" w:cstheme="majorHAnsi"/>
          <w:sz w:val="18"/>
          <w:szCs w:val="18"/>
        </w:rPr>
      </w:pPr>
    </w:p>
    <w:p w14:paraId="12C25DBF" w14:textId="13E9B069" w:rsidR="00753F5D" w:rsidRPr="005F2E1E" w:rsidRDefault="00753F5D" w:rsidP="001566F7">
      <w:pPr>
        <w:spacing w:line="24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5F2E1E">
        <w:rPr>
          <w:rFonts w:asciiTheme="majorHAnsi" w:hAnsiTheme="majorHAnsi" w:cstheme="majorHAnsi"/>
          <w:sz w:val="18"/>
          <w:szCs w:val="18"/>
        </w:rPr>
        <w:t>Destaquen com a principals matèries objecte dels arbitratges, els arrendaments d’habitatge i de nau industrial, els contractes d’obra i col·laboració i cobren rellevància els contractes de prestació de serveis professionals i mercantils</w:t>
      </w:r>
      <w:r w:rsidR="00942BBD" w:rsidRPr="005F2E1E">
        <w:rPr>
          <w:rFonts w:asciiTheme="majorHAnsi" w:hAnsiTheme="majorHAnsi" w:cstheme="majorHAnsi"/>
          <w:sz w:val="18"/>
          <w:szCs w:val="18"/>
        </w:rPr>
        <w:t>. El dret societari segueix tenint una presència important com en els anys anteriors.</w:t>
      </w:r>
    </w:p>
    <w:p w14:paraId="664B8FF7" w14:textId="76F45A5C" w:rsidR="00C908D1" w:rsidRPr="005F2E1E" w:rsidRDefault="00C908D1" w:rsidP="00753F5D">
      <w:pPr>
        <w:jc w:val="both"/>
        <w:rPr>
          <w:rFonts w:asciiTheme="majorHAnsi" w:hAnsiTheme="majorHAnsi" w:cstheme="majorHAnsi"/>
          <w:sz w:val="18"/>
          <w:szCs w:val="18"/>
        </w:rPr>
      </w:pPr>
    </w:p>
    <w:p w14:paraId="43E671F2" w14:textId="5D5F333B" w:rsidR="00C908D1" w:rsidRPr="005F2E1E" w:rsidRDefault="00C908D1" w:rsidP="00753F5D">
      <w:pPr>
        <w:jc w:val="both"/>
        <w:rPr>
          <w:rFonts w:asciiTheme="majorHAnsi" w:hAnsiTheme="majorHAnsi" w:cstheme="majorHAnsi"/>
          <w:sz w:val="18"/>
          <w:szCs w:val="18"/>
        </w:rPr>
      </w:pPr>
    </w:p>
    <w:p w14:paraId="067FE1BB" w14:textId="7248785F" w:rsidR="00C908D1" w:rsidRPr="005F2E1E" w:rsidRDefault="00C908D1" w:rsidP="00753F5D">
      <w:pPr>
        <w:jc w:val="both"/>
        <w:rPr>
          <w:rFonts w:asciiTheme="majorHAnsi" w:hAnsiTheme="majorHAnsi" w:cstheme="majorHAnsi"/>
          <w:sz w:val="18"/>
          <w:szCs w:val="18"/>
        </w:rPr>
      </w:pPr>
    </w:p>
    <w:p w14:paraId="2D816A08" w14:textId="4A7B938E" w:rsidR="00C908D1" w:rsidRPr="005F2E1E" w:rsidRDefault="00C908D1" w:rsidP="005A6A36">
      <w:pPr>
        <w:jc w:val="right"/>
        <w:rPr>
          <w:rFonts w:asciiTheme="majorHAnsi" w:hAnsiTheme="majorHAnsi" w:cstheme="majorHAnsi"/>
          <w:sz w:val="18"/>
          <w:szCs w:val="18"/>
        </w:rPr>
      </w:pPr>
    </w:p>
    <w:p w14:paraId="5B23ADB3" w14:textId="4244E8F2" w:rsidR="00C908D1" w:rsidRPr="005F2E1E" w:rsidRDefault="003347BE" w:rsidP="00753F5D">
      <w:pPr>
        <w:jc w:val="both"/>
        <w:rPr>
          <w:rFonts w:asciiTheme="majorHAnsi" w:hAnsiTheme="majorHAnsi" w:cstheme="majorHAnsi"/>
          <w:sz w:val="18"/>
          <w:szCs w:val="18"/>
        </w:rPr>
      </w:pPr>
      <w:r w:rsidRPr="005F2E1E">
        <w:rPr>
          <w:noProof/>
        </w:rPr>
        <w:drawing>
          <wp:anchor distT="0" distB="0" distL="114300" distR="114300" simplePos="0" relativeHeight="251660288" behindDoc="1" locked="0" layoutInCell="1" allowOverlap="1" wp14:anchorId="78B07D10" wp14:editId="1ED85EFB">
            <wp:simplePos x="0" y="0"/>
            <wp:positionH relativeFrom="margin">
              <wp:align>right</wp:align>
            </wp:positionH>
            <wp:positionV relativeFrom="page">
              <wp:posOffset>5052060</wp:posOffset>
            </wp:positionV>
            <wp:extent cx="3416300" cy="2354580"/>
            <wp:effectExtent l="0" t="0" r="0" b="7620"/>
            <wp:wrapTight wrapText="bothSides">
              <wp:wrapPolygon edited="0">
                <wp:start x="0" y="0"/>
                <wp:lineTo x="0" y="21495"/>
                <wp:lineTo x="21439" y="21495"/>
                <wp:lineTo x="21439" y="0"/>
                <wp:lineTo x="0" y="0"/>
              </wp:wrapPolygon>
            </wp:wrapTight>
            <wp:docPr id="87424690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166C99B-B942-CCC8-DC7B-3EE2FB059A3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V relativeFrom="margin">
              <wp14:pctHeight>0</wp14:pctHeight>
            </wp14:sizeRelV>
          </wp:anchor>
        </w:drawing>
      </w:r>
    </w:p>
    <w:p w14:paraId="2249E65E" w14:textId="531AD98E" w:rsidR="005A6A36" w:rsidRDefault="005A6A36" w:rsidP="00753F5D">
      <w:pPr>
        <w:jc w:val="both"/>
        <w:rPr>
          <w:rFonts w:asciiTheme="majorHAnsi" w:hAnsiTheme="majorHAnsi" w:cstheme="majorHAnsi"/>
          <w:sz w:val="18"/>
          <w:szCs w:val="18"/>
        </w:rPr>
      </w:pPr>
    </w:p>
    <w:p w14:paraId="38185520" w14:textId="23E278E7" w:rsidR="003347BE" w:rsidRDefault="003347BE" w:rsidP="00753F5D">
      <w:pPr>
        <w:jc w:val="both"/>
        <w:rPr>
          <w:rFonts w:asciiTheme="majorHAnsi" w:hAnsiTheme="majorHAnsi" w:cstheme="majorHAnsi"/>
          <w:sz w:val="18"/>
          <w:szCs w:val="18"/>
        </w:rPr>
      </w:pPr>
    </w:p>
    <w:p w14:paraId="7996EF48" w14:textId="77777777" w:rsidR="003347BE" w:rsidRPr="005F2E1E" w:rsidRDefault="003347BE" w:rsidP="00753F5D">
      <w:pPr>
        <w:jc w:val="both"/>
        <w:rPr>
          <w:rFonts w:asciiTheme="majorHAnsi" w:hAnsiTheme="majorHAnsi" w:cstheme="majorHAnsi"/>
          <w:sz w:val="18"/>
          <w:szCs w:val="18"/>
        </w:rPr>
      </w:pPr>
    </w:p>
    <w:p w14:paraId="169C82D4" w14:textId="56E4C1F0" w:rsidR="00C908D1" w:rsidRPr="005F2E1E" w:rsidRDefault="00C908D1" w:rsidP="001566F7">
      <w:pPr>
        <w:spacing w:line="24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5F2E1E">
        <w:rPr>
          <w:rFonts w:asciiTheme="majorHAnsi" w:hAnsiTheme="majorHAnsi" w:cstheme="majorHAnsi"/>
          <w:sz w:val="18"/>
          <w:szCs w:val="18"/>
        </w:rPr>
        <w:t xml:space="preserve">Es manté la preferència de l’arbitratge de dret sobre </w:t>
      </w:r>
      <w:r w:rsidR="006250CC" w:rsidRPr="005F2E1E">
        <w:rPr>
          <w:rFonts w:asciiTheme="majorHAnsi" w:hAnsiTheme="majorHAnsi" w:cstheme="majorHAnsi"/>
          <w:sz w:val="18"/>
          <w:szCs w:val="18"/>
        </w:rPr>
        <w:t>l’arbitratge</w:t>
      </w:r>
      <w:r w:rsidRPr="005F2E1E">
        <w:rPr>
          <w:rFonts w:asciiTheme="majorHAnsi" w:hAnsiTheme="majorHAnsi" w:cstheme="majorHAnsi"/>
          <w:sz w:val="18"/>
          <w:szCs w:val="18"/>
        </w:rPr>
        <w:t xml:space="preserve"> d’equitat que han d’acordar les parts. </w:t>
      </w:r>
      <w:r w:rsidR="00942BBD" w:rsidRPr="005F2E1E">
        <w:rPr>
          <w:rFonts w:asciiTheme="majorHAnsi" w:hAnsiTheme="majorHAnsi" w:cstheme="majorHAnsi"/>
          <w:sz w:val="18"/>
          <w:szCs w:val="18"/>
        </w:rPr>
        <w:t>A</w:t>
      </w:r>
      <w:r w:rsidRPr="005F2E1E">
        <w:rPr>
          <w:rFonts w:asciiTheme="majorHAnsi" w:hAnsiTheme="majorHAnsi" w:cstheme="majorHAnsi"/>
          <w:sz w:val="18"/>
          <w:szCs w:val="18"/>
        </w:rPr>
        <w:t xml:space="preserve">quest any </w:t>
      </w:r>
      <w:r w:rsidR="00942BBD" w:rsidRPr="005F2E1E">
        <w:rPr>
          <w:rFonts w:asciiTheme="majorHAnsi" w:hAnsiTheme="majorHAnsi" w:cstheme="majorHAnsi"/>
          <w:sz w:val="18"/>
          <w:szCs w:val="18"/>
        </w:rPr>
        <w:t xml:space="preserve">ha augmentat l’arbitratge d’equitat en comparació a l’any passat que no es va donar cap arbitratge d’equitat. S’ha donat entrada a </w:t>
      </w:r>
      <w:r w:rsidRPr="005F2E1E">
        <w:rPr>
          <w:rFonts w:asciiTheme="majorHAnsi" w:hAnsiTheme="majorHAnsi" w:cstheme="majorHAnsi"/>
          <w:sz w:val="18"/>
          <w:szCs w:val="18"/>
        </w:rPr>
        <w:t>dos arbitratges d’equitat que suposen un percentatge del 9%</w:t>
      </w:r>
      <w:r w:rsidR="002836FD" w:rsidRPr="005F2E1E">
        <w:rPr>
          <w:rFonts w:asciiTheme="majorHAnsi" w:hAnsiTheme="majorHAnsi" w:cstheme="majorHAnsi"/>
          <w:sz w:val="18"/>
          <w:szCs w:val="18"/>
        </w:rPr>
        <w:t>.</w:t>
      </w:r>
    </w:p>
    <w:p w14:paraId="726836D4" w14:textId="3E2A6D9A" w:rsidR="00C908D1" w:rsidRPr="005F2E1E" w:rsidRDefault="00C908D1" w:rsidP="00C908D1">
      <w:pPr>
        <w:jc w:val="right"/>
        <w:rPr>
          <w:rFonts w:asciiTheme="majorHAnsi" w:hAnsiTheme="majorHAnsi" w:cstheme="majorHAnsi"/>
          <w:sz w:val="18"/>
          <w:szCs w:val="18"/>
        </w:rPr>
      </w:pPr>
    </w:p>
    <w:p w14:paraId="5BFEFFB4" w14:textId="2632C1E1" w:rsidR="00C908D1" w:rsidRPr="005F2E1E" w:rsidRDefault="00C908D1" w:rsidP="00C908D1">
      <w:pPr>
        <w:jc w:val="right"/>
        <w:rPr>
          <w:rFonts w:asciiTheme="majorHAnsi" w:hAnsiTheme="majorHAnsi" w:cstheme="majorHAnsi"/>
          <w:sz w:val="18"/>
          <w:szCs w:val="18"/>
        </w:rPr>
      </w:pPr>
    </w:p>
    <w:p w14:paraId="3290E3DF" w14:textId="69504B1B" w:rsidR="005A6A36" w:rsidRPr="005F2E1E" w:rsidRDefault="005A6A36" w:rsidP="00C908D1">
      <w:pPr>
        <w:jc w:val="right"/>
        <w:rPr>
          <w:rFonts w:asciiTheme="majorHAnsi" w:hAnsiTheme="majorHAnsi" w:cstheme="majorHAnsi"/>
          <w:sz w:val="18"/>
          <w:szCs w:val="18"/>
        </w:rPr>
      </w:pPr>
    </w:p>
    <w:p w14:paraId="64A60E57" w14:textId="4AD2156A" w:rsidR="005A6A36" w:rsidRPr="005F2E1E" w:rsidRDefault="005A6A36" w:rsidP="00C908D1">
      <w:pPr>
        <w:jc w:val="right"/>
        <w:rPr>
          <w:rFonts w:asciiTheme="majorHAnsi" w:hAnsiTheme="majorHAnsi" w:cstheme="majorHAnsi"/>
          <w:sz w:val="18"/>
          <w:szCs w:val="18"/>
        </w:rPr>
      </w:pPr>
    </w:p>
    <w:p w14:paraId="4C771CBA" w14:textId="0444A597" w:rsidR="00E10DE5" w:rsidRPr="005F2E1E" w:rsidRDefault="003347BE" w:rsidP="00E10DE5">
      <w:pPr>
        <w:rPr>
          <w:rFonts w:asciiTheme="majorHAnsi" w:hAnsiTheme="majorHAnsi" w:cstheme="majorHAnsi"/>
          <w:sz w:val="18"/>
          <w:szCs w:val="18"/>
        </w:rPr>
      </w:pPr>
      <w:r w:rsidRPr="005F2E1E">
        <w:rPr>
          <w:noProof/>
        </w:rPr>
        <w:drawing>
          <wp:anchor distT="0" distB="0" distL="114300" distR="114300" simplePos="0" relativeHeight="251661312" behindDoc="1" locked="0" layoutInCell="1" allowOverlap="1" wp14:anchorId="207E4AD5" wp14:editId="589144F5">
            <wp:simplePos x="0" y="0"/>
            <wp:positionH relativeFrom="margin">
              <wp:align>left</wp:align>
            </wp:positionH>
            <wp:positionV relativeFrom="page">
              <wp:posOffset>7623810</wp:posOffset>
            </wp:positionV>
            <wp:extent cx="3672840" cy="2346960"/>
            <wp:effectExtent l="0" t="0" r="3810" b="0"/>
            <wp:wrapTight wrapText="bothSides">
              <wp:wrapPolygon edited="0">
                <wp:start x="0" y="0"/>
                <wp:lineTo x="0" y="21390"/>
                <wp:lineTo x="21510" y="21390"/>
                <wp:lineTo x="21510" y="0"/>
                <wp:lineTo x="0" y="0"/>
              </wp:wrapPolygon>
            </wp:wrapTight>
            <wp:docPr id="49528127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B563335-A817-24D5-D416-411529FF3D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2183BB" w14:textId="77777777" w:rsidR="00E10DE5" w:rsidRPr="005F2E1E" w:rsidRDefault="00E10DE5" w:rsidP="00E10DE5">
      <w:pPr>
        <w:rPr>
          <w:rFonts w:asciiTheme="majorHAnsi" w:hAnsiTheme="majorHAnsi" w:cstheme="majorHAnsi"/>
          <w:sz w:val="18"/>
          <w:szCs w:val="18"/>
        </w:rPr>
      </w:pPr>
    </w:p>
    <w:p w14:paraId="488BD6F2" w14:textId="183ACB7A" w:rsidR="00E10DE5" w:rsidRPr="005F2E1E" w:rsidRDefault="002836FD" w:rsidP="00E10DE5">
      <w:pPr>
        <w:rPr>
          <w:rFonts w:asciiTheme="majorHAnsi" w:hAnsiTheme="majorHAnsi" w:cstheme="majorHAnsi"/>
          <w:sz w:val="18"/>
          <w:szCs w:val="18"/>
        </w:rPr>
      </w:pPr>
      <w:r w:rsidRPr="005F2E1E">
        <w:rPr>
          <w:rFonts w:asciiTheme="majorHAnsi" w:hAnsiTheme="majorHAnsi" w:cstheme="majorHAnsi"/>
          <w:sz w:val="18"/>
          <w:szCs w:val="18"/>
        </w:rPr>
        <w:t xml:space="preserve">A l’igual que l’any passat la presència de la dona com a àrbitre encara dista </w:t>
      </w:r>
      <w:r w:rsidR="00942BBD" w:rsidRPr="005F2E1E">
        <w:rPr>
          <w:rFonts w:asciiTheme="majorHAnsi" w:hAnsiTheme="majorHAnsi" w:cstheme="majorHAnsi"/>
          <w:sz w:val="18"/>
          <w:szCs w:val="18"/>
        </w:rPr>
        <w:t xml:space="preserve">molt </w:t>
      </w:r>
      <w:r w:rsidRPr="005F2E1E">
        <w:rPr>
          <w:rFonts w:asciiTheme="majorHAnsi" w:hAnsiTheme="majorHAnsi" w:cstheme="majorHAnsi"/>
          <w:sz w:val="18"/>
          <w:szCs w:val="18"/>
        </w:rPr>
        <w:t xml:space="preserve">d’estar en pla d’igualtat amb el gènere masculí. </w:t>
      </w:r>
    </w:p>
    <w:p w14:paraId="23CA84C5" w14:textId="77777777" w:rsidR="00E10DE5" w:rsidRPr="005F2E1E" w:rsidRDefault="00E10DE5" w:rsidP="00E10DE5">
      <w:pPr>
        <w:rPr>
          <w:rFonts w:asciiTheme="majorHAnsi" w:hAnsiTheme="majorHAnsi" w:cstheme="majorHAnsi"/>
          <w:sz w:val="18"/>
          <w:szCs w:val="18"/>
        </w:rPr>
      </w:pPr>
    </w:p>
    <w:p w14:paraId="5933BAF1" w14:textId="77777777" w:rsidR="00E10DE5" w:rsidRPr="005F2E1E" w:rsidRDefault="00E10DE5" w:rsidP="00E10DE5">
      <w:pPr>
        <w:rPr>
          <w:rFonts w:asciiTheme="majorHAnsi" w:hAnsiTheme="majorHAnsi" w:cstheme="majorHAnsi"/>
          <w:sz w:val="18"/>
          <w:szCs w:val="18"/>
        </w:rPr>
      </w:pPr>
    </w:p>
    <w:p w14:paraId="402856E1" w14:textId="77777777" w:rsidR="00E10DE5" w:rsidRPr="005F2E1E" w:rsidRDefault="00E10DE5" w:rsidP="00E10DE5">
      <w:pPr>
        <w:rPr>
          <w:rFonts w:asciiTheme="majorHAnsi" w:hAnsiTheme="majorHAnsi" w:cstheme="majorHAnsi"/>
          <w:sz w:val="18"/>
          <w:szCs w:val="18"/>
        </w:rPr>
      </w:pPr>
    </w:p>
    <w:p w14:paraId="36F3A479" w14:textId="607DE580" w:rsidR="00E10DE5" w:rsidRPr="005F2E1E" w:rsidRDefault="00E10DE5" w:rsidP="00E10DE5">
      <w:pPr>
        <w:rPr>
          <w:rFonts w:asciiTheme="majorHAnsi" w:hAnsiTheme="majorHAnsi" w:cstheme="majorHAnsi"/>
          <w:sz w:val="18"/>
          <w:szCs w:val="18"/>
        </w:rPr>
      </w:pPr>
    </w:p>
    <w:p w14:paraId="6C87BF63" w14:textId="5619DAFD" w:rsidR="00E10DE5" w:rsidRPr="005F2E1E" w:rsidRDefault="003347BE" w:rsidP="00E10DE5">
      <w:pPr>
        <w:rPr>
          <w:rFonts w:asciiTheme="majorHAnsi" w:hAnsiTheme="majorHAnsi" w:cstheme="majorHAnsi"/>
          <w:sz w:val="18"/>
          <w:szCs w:val="18"/>
        </w:rPr>
      </w:pPr>
      <w:r w:rsidRPr="005F2E1E"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38F3033D" wp14:editId="585D5F8B">
            <wp:simplePos x="0" y="0"/>
            <wp:positionH relativeFrom="margin">
              <wp:align>right</wp:align>
            </wp:positionH>
            <wp:positionV relativeFrom="page">
              <wp:posOffset>687070</wp:posOffset>
            </wp:positionV>
            <wp:extent cx="3714750" cy="2552700"/>
            <wp:effectExtent l="0" t="0" r="0" b="0"/>
            <wp:wrapTight wrapText="bothSides">
              <wp:wrapPolygon edited="0">
                <wp:start x="0" y="0"/>
                <wp:lineTo x="0" y="21439"/>
                <wp:lineTo x="21489" y="21439"/>
                <wp:lineTo x="21489" y="0"/>
                <wp:lineTo x="0" y="0"/>
              </wp:wrapPolygon>
            </wp:wrapTight>
            <wp:docPr id="150492055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A1FA65D-5E74-25A4-F742-126C6EF398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</wp:anchor>
        </w:drawing>
      </w:r>
    </w:p>
    <w:p w14:paraId="03EE0AFF" w14:textId="38542186" w:rsidR="00E10DE5" w:rsidRPr="005F2E1E" w:rsidRDefault="00E10DE5" w:rsidP="00E10DE5">
      <w:pPr>
        <w:rPr>
          <w:rFonts w:asciiTheme="majorHAnsi" w:hAnsiTheme="majorHAnsi" w:cstheme="majorHAnsi"/>
          <w:sz w:val="18"/>
          <w:szCs w:val="18"/>
        </w:rPr>
      </w:pPr>
    </w:p>
    <w:p w14:paraId="2BA4737D" w14:textId="77777777" w:rsidR="003347BE" w:rsidRDefault="003347BE" w:rsidP="00563352">
      <w:pPr>
        <w:jc w:val="center"/>
        <w:rPr>
          <w:rFonts w:asciiTheme="majorHAnsi" w:hAnsiTheme="majorHAnsi" w:cstheme="majorHAnsi"/>
          <w:sz w:val="18"/>
          <w:szCs w:val="18"/>
        </w:rPr>
      </w:pPr>
    </w:p>
    <w:p w14:paraId="52803E22" w14:textId="11274C3D" w:rsidR="00E10DE5" w:rsidRPr="005F2E1E" w:rsidRDefault="002836FD" w:rsidP="00563352">
      <w:pPr>
        <w:jc w:val="center"/>
        <w:rPr>
          <w:rFonts w:asciiTheme="majorHAnsi" w:hAnsiTheme="majorHAnsi" w:cstheme="majorHAnsi"/>
          <w:sz w:val="18"/>
          <w:szCs w:val="18"/>
        </w:rPr>
      </w:pPr>
      <w:r w:rsidRPr="005F2E1E">
        <w:rPr>
          <w:rFonts w:asciiTheme="majorHAnsi" w:hAnsiTheme="majorHAnsi" w:cstheme="majorHAnsi"/>
          <w:sz w:val="18"/>
          <w:szCs w:val="18"/>
        </w:rPr>
        <w:t xml:space="preserve">L’idioma predominant </w:t>
      </w:r>
      <w:r w:rsidR="00563352" w:rsidRPr="005F2E1E">
        <w:rPr>
          <w:rFonts w:asciiTheme="majorHAnsi" w:hAnsiTheme="majorHAnsi" w:cstheme="majorHAnsi"/>
          <w:sz w:val="18"/>
          <w:szCs w:val="18"/>
        </w:rPr>
        <w:t xml:space="preserve">dels arbitratges ha estat el castellà, si bé en molts d’aquests arbitratges les parts han acordat la pràctica de prova i l’aportació de documents en altres idiomes com </w:t>
      </w:r>
      <w:r w:rsidR="005F2E1E" w:rsidRPr="005F2E1E">
        <w:rPr>
          <w:rFonts w:asciiTheme="majorHAnsi" w:hAnsiTheme="majorHAnsi" w:cstheme="majorHAnsi"/>
          <w:sz w:val="18"/>
          <w:szCs w:val="18"/>
        </w:rPr>
        <w:t>l’anglès</w:t>
      </w:r>
      <w:r w:rsidR="00563352" w:rsidRPr="005F2E1E">
        <w:rPr>
          <w:rFonts w:asciiTheme="majorHAnsi" w:hAnsiTheme="majorHAnsi" w:cstheme="majorHAnsi"/>
          <w:sz w:val="18"/>
          <w:szCs w:val="18"/>
        </w:rPr>
        <w:t xml:space="preserve"> i el rus.</w:t>
      </w:r>
    </w:p>
    <w:p w14:paraId="5EBCFBC1" w14:textId="6F852848" w:rsidR="005A6A36" w:rsidRPr="005F2E1E" w:rsidRDefault="005A6A36" w:rsidP="005A6A36">
      <w:pPr>
        <w:rPr>
          <w:rFonts w:asciiTheme="majorHAnsi" w:hAnsiTheme="majorHAnsi" w:cstheme="majorHAnsi"/>
          <w:sz w:val="18"/>
          <w:szCs w:val="18"/>
        </w:rPr>
      </w:pPr>
    </w:p>
    <w:p w14:paraId="4DEB49A3" w14:textId="0E662582" w:rsidR="00A518D2" w:rsidRPr="005F2E1E" w:rsidRDefault="00A518D2" w:rsidP="005A6A36">
      <w:pPr>
        <w:rPr>
          <w:rFonts w:asciiTheme="majorHAnsi" w:hAnsiTheme="majorHAnsi" w:cstheme="majorHAnsi"/>
          <w:sz w:val="18"/>
          <w:szCs w:val="18"/>
        </w:rPr>
      </w:pPr>
    </w:p>
    <w:p w14:paraId="016DAF9B" w14:textId="344BC772" w:rsidR="00AF5248" w:rsidRPr="005F2E1E" w:rsidRDefault="00AF5248" w:rsidP="005A6A36">
      <w:pPr>
        <w:rPr>
          <w:rFonts w:asciiTheme="majorHAnsi" w:hAnsiTheme="majorHAnsi" w:cstheme="majorHAnsi"/>
          <w:sz w:val="18"/>
          <w:szCs w:val="18"/>
        </w:rPr>
      </w:pPr>
    </w:p>
    <w:p w14:paraId="75E59A21" w14:textId="68AA7C8C" w:rsidR="00AF5248" w:rsidRPr="005F2E1E" w:rsidRDefault="00AF5248" w:rsidP="005A6A36">
      <w:pPr>
        <w:rPr>
          <w:rFonts w:asciiTheme="majorHAnsi" w:hAnsiTheme="majorHAnsi" w:cstheme="majorHAnsi"/>
          <w:sz w:val="18"/>
          <w:szCs w:val="18"/>
        </w:rPr>
      </w:pPr>
    </w:p>
    <w:p w14:paraId="432953C5" w14:textId="6F6DB0C4" w:rsidR="00E24138" w:rsidRPr="005F2E1E" w:rsidRDefault="00E24138" w:rsidP="00AF5248">
      <w:pPr>
        <w:jc w:val="right"/>
        <w:rPr>
          <w:rFonts w:asciiTheme="majorHAnsi" w:hAnsiTheme="majorHAnsi" w:cstheme="majorHAnsi"/>
          <w:sz w:val="18"/>
          <w:szCs w:val="18"/>
        </w:rPr>
      </w:pPr>
    </w:p>
    <w:p w14:paraId="6CAD8876" w14:textId="32094CC8" w:rsidR="00E24138" w:rsidRPr="005F2E1E" w:rsidRDefault="005C6655" w:rsidP="00AF5248">
      <w:pPr>
        <w:jc w:val="right"/>
        <w:rPr>
          <w:rFonts w:asciiTheme="majorHAnsi" w:hAnsiTheme="majorHAnsi" w:cstheme="majorHAnsi"/>
          <w:sz w:val="18"/>
          <w:szCs w:val="18"/>
        </w:rPr>
      </w:pPr>
      <w:r w:rsidRPr="005F2E1E">
        <w:rPr>
          <w:noProof/>
        </w:rPr>
        <w:drawing>
          <wp:anchor distT="0" distB="0" distL="114300" distR="114300" simplePos="0" relativeHeight="251662336" behindDoc="1" locked="0" layoutInCell="1" allowOverlap="1" wp14:anchorId="68B7C0B2" wp14:editId="0C2E58A1">
            <wp:simplePos x="0" y="0"/>
            <wp:positionH relativeFrom="column">
              <wp:posOffset>-27940</wp:posOffset>
            </wp:positionH>
            <wp:positionV relativeFrom="page">
              <wp:posOffset>3458210</wp:posOffset>
            </wp:positionV>
            <wp:extent cx="3543300" cy="2733040"/>
            <wp:effectExtent l="0" t="0" r="0" b="0"/>
            <wp:wrapTight wrapText="bothSides">
              <wp:wrapPolygon edited="0">
                <wp:start x="0" y="0"/>
                <wp:lineTo x="0" y="21379"/>
                <wp:lineTo x="21484" y="21379"/>
                <wp:lineTo x="21484" y="0"/>
                <wp:lineTo x="0" y="0"/>
              </wp:wrapPolygon>
            </wp:wrapTight>
            <wp:docPr id="97947322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173CA46-9763-BEA0-6347-C8A8C30C918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920DF9" w14:textId="2C8F89C7" w:rsidR="00E24138" w:rsidRPr="005F2E1E" w:rsidRDefault="00E24138" w:rsidP="00AF5248">
      <w:pPr>
        <w:jc w:val="right"/>
        <w:rPr>
          <w:rFonts w:asciiTheme="majorHAnsi" w:hAnsiTheme="majorHAnsi" w:cstheme="majorHAnsi"/>
          <w:sz w:val="18"/>
          <w:szCs w:val="18"/>
        </w:rPr>
      </w:pPr>
    </w:p>
    <w:p w14:paraId="6DA42BF8" w14:textId="1F1F5222" w:rsidR="00E24138" w:rsidRPr="005F2E1E" w:rsidRDefault="00E24138" w:rsidP="00AF5248">
      <w:pPr>
        <w:jc w:val="right"/>
        <w:rPr>
          <w:rFonts w:asciiTheme="majorHAnsi" w:hAnsiTheme="majorHAnsi" w:cstheme="majorHAnsi"/>
          <w:sz w:val="18"/>
          <w:szCs w:val="18"/>
        </w:rPr>
      </w:pPr>
    </w:p>
    <w:p w14:paraId="49AE82E9" w14:textId="1BAA648F" w:rsidR="00E24138" w:rsidRPr="005F2E1E" w:rsidRDefault="00E24138" w:rsidP="00AF5248">
      <w:pPr>
        <w:jc w:val="right"/>
        <w:rPr>
          <w:rFonts w:asciiTheme="majorHAnsi" w:hAnsiTheme="majorHAnsi" w:cstheme="majorHAnsi"/>
          <w:sz w:val="18"/>
          <w:szCs w:val="18"/>
        </w:rPr>
      </w:pPr>
    </w:p>
    <w:p w14:paraId="406A4E66" w14:textId="5C496E11" w:rsidR="00E24138" w:rsidRPr="005F2E1E" w:rsidRDefault="002836FD" w:rsidP="002836FD">
      <w:pPr>
        <w:jc w:val="center"/>
        <w:rPr>
          <w:rFonts w:asciiTheme="majorHAnsi" w:hAnsiTheme="majorHAnsi" w:cstheme="majorHAnsi"/>
          <w:sz w:val="18"/>
          <w:szCs w:val="18"/>
        </w:rPr>
      </w:pPr>
      <w:r w:rsidRPr="005F2E1E">
        <w:rPr>
          <w:rFonts w:asciiTheme="majorHAnsi" w:hAnsiTheme="majorHAnsi" w:cstheme="majorHAnsi"/>
          <w:sz w:val="18"/>
          <w:szCs w:val="18"/>
        </w:rPr>
        <w:t>Els percentatges de l’arbitratge internacional envers a l’arbitratge domèstic són els mateixos que els de l’any passat amb un clar predomini de l’arbitratge domèstic.</w:t>
      </w:r>
    </w:p>
    <w:p w14:paraId="64B70162" w14:textId="1E8404AF" w:rsidR="00E24138" w:rsidRPr="005F2E1E" w:rsidRDefault="00E24138" w:rsidP="00AF5248">
      <w:pPr>
        <w:jc w:val="right"/>
        <w:rPr>
          <w:rFonts w:asciiTheme="majorHAnsi" w:hAnsiTheme="majorHAnsi" w:cstheme="majorHAnsi"/>
          <w:sz w:val="18"/>
          <w:szCs w:val="18"/>
        </w:rPr>
      </w:pPr>
    </w:p>
    <w:p w14:paraId="7DA13804" w14:textId="0B27322C" w:rsidR="00E24138" w:rsidRPr="005F2E1E" w:rsidRDefault="00E24138" w:rsidP="00AF5248">
      <w:pPr>
        <w:jc w:val="right"/>
        <w:rPr>
          <w:rFonts w:asciiTheme="majorHAnsi" w:hAnsiTheme="majorHAnsi" w:cstheme="majorHAnsi"/>
          <w:sz w:val="18"/>
          <w:szCs w:val="18"/>
        </w:rPr>
      </w:pPr>
    </w:p>
    <w:p w14:paraId="1ECE43CF" w14:textId="47AA7A6F" w:rsidR="00EB798E" w:rsidRPr="005F2E1E" w:rsidRDefault="00EB798E" w:rsidP="006250CC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3F472221" w14:textId="2C3ACA4C" w:rsidR="007555C8" w:rsidRPr="005F2E1E" w:rsidRDefault="007555C8" w:rsidP="005C6655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1C62DB13" w14:textId="77777777" w:rsidR="003347BE" w:rsidRDefault="003347BE" w:rsidP="007555C8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7EB2E059" w14:textId="5EEF4625" w:rsidR="00EB798E" w:rsidRPr="005F2E1E" w:rsidRDefault="00EB798E" w:rsidP="007555C8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5F2E1E">
        <w:rPr>
          <w:rFonts w:asciiTheme="majorHAnsi" w:hAnsiTheme="majorHAnsi" w:cstheme="majorHAnsi"/>
          <w:b/>
          <w:bCs/>
          <w:sz w:val="24"/>
          <w:szCs w:val="24"/>
        </w:rPr>
        <w:t>QUANTIA ARBITRATGE</w:t>
      </w:r>
    </w:p>
    <w:p w14:paraId="59094363" w14:textId="3C2ADB84" w:rsidR="00EB798E" w:rsidRPr="005F2E1E" w:rsidRDefault="00EB798E" w:rsidP="006250CC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5F2E1E">
        <w:rPr>
          <w:noProof/>
        </w:rPr>
        <w:drawing>
          <wp:inline distT="0" distB="0" distL="0" distR="0" wp14:anchorId="533432AA" wp14:editId="560E7FEE">
            <wp:extent cx="7199630" cy="2587565"/>
            <wp:effectExtent l="0" t="0" r="1270" b="3810"/>
            <wp:docPr id="205700352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2E23BAF-AF12-4708-C151-8B9CF1CC81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E70902C" w14:textId="01A09695" w:rsidR="00EB798E" w:rsidRPr="005F2E1E" w:rsidRDefault="00EB798E" w:rsidP="00EB798E">
      <w:pPr>
        <w:jc w:val="center"/>
        <w:rPr>
          <w:rFonts w:asciiTheme="majorHAnsi" w:hAnsiTheme="majorHAnsi" w:cstheme="majorHAnsi"/>
          <w:sz w:val="18"/>
          <w:szCs w:val="18"/>
        </w:rPr>
      </w:pPr>
      <w:r w:rsidRPr="005F2E1E">
        <w:rPr>
          <w:rFonts w:asciiTheme="majorHAnsi" w:hAnsiTheme="majorHAnsi" w:cstheme="majorHAnsi"/>
          <w:sz w:val="18"/>
          <w:szCs w:val="18"/>
        </w:rPr>
        <w:t>Destaquem una quantia màxima de 11.490.856,97€ i una quantia mínima de 6.300,00€. En aquest sentit podem dir que el TAB també dona resposta a arbitratges de petita quantia garantint els honoraris a l’àrbitre tal com s’estableix al protocol de solidaritat entre àrbitres.</w:t>
      </w:r>
    </w:p>
    <w:p w14:paraId="53C83EFA" w14:textId="16B8DACD" w:rsidR="00004248" w:rsidRPr="005F2E1E" w:rsidRDefault="00004248" w:rsidP="00EB798E">
      <w:pPr>
        <w:jc w:val="center"/>
        <w:rPr>
          <w:rFonts w:asciiTheme="majorHAnsi" w:hAnsiTheme="majorHAnsi" w:cstheme="majorHAnsi"/>
          <w:sz w:val="18"/>
          <w:szCs w:val="18"/>
        </w:rPr>
      </w:pPr>
    </w:p>
    <w:p w14:paraId="3F1DB29E" w14:textId="78F25734" w:rsidR="00EB798E" w:rsidRDefault="00EB798E" w:rsidP="00EB798E">
      <w:pPr>
        <w:spacing w:after="0"/>
        <w:jc w:val="center"/>
        <w:rPr>
          <w:rFonts w:asciiTheme="majorHAnsi" w:hAnsiTheme="majorHAnsi" w:cstheme="majorHAnsi"/>
          <w:sz w:val="18"/>
          <w:szCs w:val="18"/>
        </w:rPr>
      </w:pPr>
    </w:p>
    <w:p w14:paraId="11A2A038" w14:textId="77777777" w:rsidR="003347BE" w:rsidRDefault="003347BE" w:rsidP="00EB798E">
      <w:pPr>
        <w:spacing w:after="0"/>
        <w:jc w:val="center"/>
        <w:rPr>
          <w:rFonts w:asciiTheme="majorHAnsi" w:hAnsiTheme="majorHAnsi" w:cstheme="majorHAnsi"/>
          <w:sz w:val="18"/>
          <w:szCs w:val="18"/>
        </w:rPr>
      </w:pPr>
    </w:p>
    <w:p w14:paraId="5F3CC05C" w14:textId="77777777" w:rsidR="003347BE" w:rsidRDefault="003347BE" w:rsidP="00EB798E">
      <w:pPr>
        <w:spacing w:after="0"/>
        <w:jc w:val="center"/>
        <w:rPr>
          <w:rFonts w:asciiTheme="majorHAnsi" w:hAnsiTheme="majorHAnsi" w:cstheme="majorHAnsi"/>
          <w:sz w:val="18"/>
          <w:szCs w:val="18"/>
        </w:rPr>
      </w:pPr>
    </w:p>
    <w:p w14:paraId="3D2D0195" w14:textId="4B0F4737" w:rsidR="003347BE" w:rsidRPr="005F2E1E" w:rsidRDefault="003347BE" w:rsidP="00EB798E">
      <w:pPr>
        <w:spacing w:after="0"/>
        <w:jc w:val="center"/>
        <w:rPr>
          <w:rFonts w:asciiTheme="majorHAnsi" w:hAnsiTheme="majorHAnsi" w:cstheme="majorHAnsi"/>
          <w:sz w:val="18"/>
          <w:szCs w:val="18"/>
        </w:rPr>
      </w:pPr>
      <w:r w:rsidRPr="005F2E1E"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242BF388" wp14:editId="31B79B55">
            <wp:simplePos x="0" y="0"/>
            <wp:positionH relativeFrom="margin">
              <wp:align>left</wp:align>
            </wp:positionH>
            <wp:positionV relativeFrom="page">
              <wp:posOffset>676275</wp:posOffset>
            </wp:positionV>
            <wp:extent cx="3571875" cy="2362200"/>
            <wp:effectExtent l="0" t="0" r="0" b="0"/>
            <wp:wrapTight wrapText="bothSides">
              <wp:wrapPolygon edited="0">
                <wp:start x="0" y="0"/>
                <wp:lineTo x="0" y="21426"/>
                <wp:lineTo x="21427" y="21426"/>
                <wp:lineTo x="21427" y="0"/>
                <wp:lineTo x="0" y="0"/>
              </wp:wrapPolygon>
            </wp:wrapTight>
            <wp:docPr id="199472623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5408989-4357-3E23-7AE0-584F9F7CA4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E57917" w14:textId="48D86CDC" w:rsidR="00EB798E" w:rsidRPr="005F2E1E" w:rsidRDefault="00EB798E" w:rsidP="00EB798E">
      <w:pPr>
        <w:spacing w:after="0"/>
        <w:jc w:val="center"/>
        <w:rPr>
          <w:rFonts w:asciiTheme="majorHAnsi" w:hAnsiTheme="majorHAnsi" w:cstheme="majorHAnsi"/>
          <w:sz w:val="18"/>
          <w:szCs w:val="18"/>
        </w:rPr>
      </w:pPr>
      <w:r w:rsidRPr="005F2E1E">
        <w:rPr>
          <w:rFonts w:asciiTheme="majorHAnsi" w:hAnsiTheme="majorHAnsi" w:cstheme="majorHAnsi"/>
          <w:sz w:val="18"/>
          <w:szCs w:val="18"/>
        </w:rPr>
        <w:t>En relació als trams de quantia, la forqueta que va des de 20.001€ fins a 600.001€ suposa la meitat de la quantia dels expedients administrats durant aquest any.</w:t>
      </w:r>
    </w:p>
    <w:p w14:paraId="03932767" w14:textId="77777777" w:rsidR="00EB798E" w:rsidRPr="005F2E1E" w:rsidRDefault="00EB798E" w:rsidP="00EB798E">
      <w:pPr>
        <w:spacing w:after="0"/>
        <w:jc w:val="center"/>
        <w:rPr>
          <w:rFonts w:asciiTheme="majorHAnsi" w:hAnsiTheme="majorHAnsi" w:cstheme="majorHAnsi"/>
          <w:sz w:val="18"/>
          <w:szCs w:val="18"/>
        </w:rPr>
      </w:pPr>
    </w:p>
    <w:p w14:paraId="48634431" w14:textId="4000A335" w:rsidR="00EB798E" w:rsidRPr="005F2E1E" w:rsidRDefault="00EB798E" w:rsidP="00EB798E">
      <w:pPr>
        <w:spacing w:after="0"/>
        <w:jc w:val="center"/>
        <w:rPr>
          <w:rFonts w:asciiTheme="majorHAnsi" w:hAnsiTheme="majorHAnsi" w:cstheme="majorHAnsi"/>
          <w:sz w:val="18"/>
          <w:szCs w:val="18"/>
        </w:rPr>
      </w:pPr>
      <w:r w:rsidRPr="005F2E1E">
        <w:rPr>
          <w:rFonts w:asciiTheme="majorHAnsi" w:hAnsiTheme="majorHAnsi" w:cstheme="majorHAnsi"/>
          <w:sz w:val="18"/>
          <w:szCs w:val="18"/>
        </w:rPr>
        <w:t>Destaquem l’increment del tram de quantia superior a 1.500.000€ que ha augmentat durant aquest any</w:t>
      </w:r>
      <w:r w:rsidR="00F07C04" w:rsidRPr="005F2E1E">
        <w:rPr>
          <w:rFonts w:asciiTheme="majorHAnsi" w:hAnsiTheme="majorHAnsi" w:cstheme="majorHAnsi"/>
          <w:sz w:val="18"/>
          <w:szCs w:val="18"/>
        </w:rPr>
        <w:t xml:space="preserve"> respecte de l’any passat</w:t>
      </w:r>
      <w:r w:rsidRPr="005F2E1E">
        <w:rPr>
          <w:rFonts w:asciiTheme="majorHAnsi" w:hAnsiTheme="majorHAnsi" w:cstheme="majorHAnsi"/>
          <w:sz w:val="18"/>
          <w:szCs w:val="18"/>
        </w:rPr>
        <w:t>.</w:t>
      </w:r>
    </w:p>
    <w:p w14:paraId="2698BF75" w14:textId="233BE7AA" w:rsidR="006250CC" w:rsidRPr="005F2E1E" w:rsidRDefault="006250CC" w:rsidP="006250CC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15A25C70" w14:textId="416ED71D" w:rsidR="00F028E3" w:rsidRPr="005F2E1E" w:rsidRDefault="00F028E3" w:rsidP="00AF5248">
      <w:pPr>
        <w:jc w:val="right"/>
        <w:rPr>
          <w:rFonts w:asciiTheme="majorHAnsi" w:hAnsiTheme="majorHAnsi" w:cstheme="majorHAnsi"/>
          <w:sz w:val="18"/>
          <w:szCs w:val="18"/>
        </w:rPr>
      </w:pPr>
    </w:p>
    <w:p w14:paraId="3D24D316" w14:textId="02E800BD" w:rsidR="00EB798E" w:rsidRPr="005F2E1E" w:rsidRDefault="00EB798E" w:rsidP="005C6655">
      <w:pPr>
        <w:jc w:val="right"/>
        <w:rPr>
          <w:rFonts w:asciiTheme="majorHAnsi" w:hAnsiTheme="majorHAnsi" w:cstheme="majorHAnsi"/>
          <w:b/>
          <w:bCs/>
          <w:sz w:val="24"/>
          <w:szCs w:val="24"/>
        </w:rPr>
      </w:pPr>
    </w:p>
    <w:p w14:paraId="40B29293" w14:textId="77777777" w:rsidR="003347BE" w:rsidRDefault="003347BE" w:rsidP="005C6655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3254D026" w14:textId="77777777" w:rsidR="003347BE" w:rsidRDefault="003347BE" w:rsidP="005C6655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5E4C58B0" w14:textId="77777777" w:rsidR="003347BE" w:rsidRDefault="003347BE" w:rsidP="005C6655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3BD984F7" w14:textId="2110014F" w:rsidR="005C6655" w:rsidRPr="005F2E1E" w:rsidRDefault="005C6655" w:rsidP="003347BE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5F2E1E">
        <w:rPr>
          <w:rFonts w:asciiTheme="majorHAnsi" w:hAnsiTheme="majorHAnsi" w:cstheme="majorHAnsi"/>
          <w:b/>
          <w:bCs/>
          <w:sz w:val="24"/>
          <w:szCs w:val="24"/>
        </w:rPr>
        <w:t>DURADA DE L’ARBITRATGE</w:t>
      </w:r>
      <w:r w:rsidRPr="005F2E1E">
        <w:rPr>
          <w:rStyle w:val="Refdenotaalpie"/>
          <w:rFonts w:asciiTheme="majorHAnsi" w:hAnsiTheme="majorHAnsi" w:cstheme="majorHAnsi"/>
          <w:b/>
          <w:bCs/>
          <w:sz w:val="24"/>
          <w:szCs w:val="24"/>
        </w:rPr>
        <w:footnoteReference w:id="1"/>
      </w:r>
    </w:p>
    <w:p w14:paraId="7CDA5604" w14:textId="7F30F218" w:rsidR="00004248" w:rsidRDefault="003347BE" w:rsidP="00F4654F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5F2E1E">
        <w:rPr>
          <w:noProof/>
        </w:rPr>
        <w:drawing>
          <wp:anchor distT="0" distB="0" distL="114300" distR="114300" simplePos="0" relativeHeight="251665408" behindDoc="1" locked="0" layoutInCell="1" allowOverlap="1" wp14:anchorId="7033D4BE" wp14:editId="3381F5A5">
            <wp:simplePos x="0" y="0"/>
            <wp:positionH relativeFrom="margin">
              <wp:posOffset>1296670</wp:posOffset>
            </wp:positionH>
            <wp:positionV relativeFrom="page">
              <wp:posOffset>3812540</wp:posOffset>
            </wp:positionV>
            <wp:extent cx="4947920" cy="1427480"/>
            <wp:effectExtent l="0" t="0" r="5080" b="1270"/>
            <wp:wrapTight wrapText="bothSides">
              <wp:wrapPolygon edited="0">
                <wp:start x="0" y="0"/>
                <wp:lineTo x="0" y="21331"/>
                <wp:lineTo x="21539" y="21331"/>
                <wp:lineTo x="21539" y="0"/>
                <wp:lineTo x="0" y="0"/>
              </wp:wrapPolygon>
            </wp:wrapTight>
            <wp:docPr id="51430003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992E5F4-289A-408F-D0B9-D6F376193DE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BA8DB1" w14:textId="77777777" w:rsidR="003347BE" w:rsidRPr="005F2E1E" w:rsidRDefault="003347BE" w:rsidP="00F4654F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5830A8E9" w14:textId="4827BB7B" w:rsidR="00004248" w:rsidRPr="005F2E1E" w:rsidRDefault="00004248" w:rsidP="00F4654F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1668903A" w14:textId="77777777" w:rsidR="00004248" w:rsidRPr="005F2E1E" w:rsidRDefault="00004248" w:rsidP="00F4654F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75E22872" w14:textId="77777777" w:rsidR="005C6655" w:rsidRPr="005F2E1E" w:rsidRDefault="005C6655" w:rsidP="002D6768">
      <w:pPr>
        <w:jc w:val="center"/>
        <w:rPr>
          <w:rFonts w:asciiTheme="majorHAnsi" w:hAnsiTheme="majorHAnsi" w:cstheme="majorHAnsi"/>
          <w:sz w:val="18"/>
          <w:szCs w:val="18"/>
        </w:rPr>
      </w:pPr>
    </w:p>
    <w:p w14:paraId="461D58F5" w14:textId="72422AF9" w:rsidR="00FF4903" w:rsidRPr="005F2E1E" w:rsidRDefault="002D6768" w:rsidP="002D6768">
      <w:pPr>
        <w:jc w:val="center"/>
        <w:rPr>
          <w:rFonts w:asciiTheme="majorHAnsi" w:hAnsiTheme="majorHAnsi" w:cstheme="majorHAnsi"/>
          <w:sz w:val="18"/>
          <w:szCs w:val="18"/>
        </w:rPr>
      </w:pPr>
      <w:r w:rsidRPr="005F2E1E">
        <w:rPr>
          <w:rFonts w:asciiTheme="majorHAnsi" w:hAnsiTheme="majorHAnsi" w:cstheme="majorHAnsi"/>
          <w:sz w:val="18"/>
          <w:szCs w:val="18"/>
        </w:rPr>
        <w:t>La mitja acotada de la durada dels procediments arbitrals laudats durant aquest any ha estat d</w:t>
      </w:r>
      <w:r w:rsidR="00A958B2" w:rsidRPr="005F2E1E">
        <w:rPr>
          <w:rFonts w:asciiTheme="majorHAnsi" w:hAnsiTheme="majorHAnsi" w:cstheme="majorHAnsi"/>
          <w:sz w:val="18"/>
          <w:szCs w:val="18"/>
        </w:rPr>
        <w:t xml:space="preserve">e </w:t>
      </w:r>
      <w:r w:rsidR="00A958B2" w:rsidRPr="005F2E1E">
        <w:rPr>
          <w:rFonts w:asciiTheme="majorHAnsi" w:hAnsiTheme="majorHAnsi" w:cstheme="majorHAnsi"/>
          <w:b/>
          <w:bCs/>
          <w:sz w:val="28"/>
          <w:szCs w:val="28"/>
        </w:rPr>
        <w:t>10,7</w:t>
      </w:r>
      <w:r w:rsidR="00A958B2" w:rsidRPr="005F2E1E">
        <w:rPr>
          <w:rFonts w:asciiTheme="majorHAnsi" w:hAnsiTheme="majorHAnsi" w:cstheme="majorHAnsi"/>
          <w:sz w:val="18"/>
          <w:szCs w:val="18"/>
        </w:rPr>
        <w:t xml:space="preserve"> </w:t>
      </w:r>
      <w:r w:rsidRPr="005F2E1E">
        <w:rPr>
          <w:rFonts w:asciiTheme="majorHAnsi" w:hAnsiTheme="majorHAnsi" w:cstheme="majorHAnsi"/>
          <w:sz w:val="18"/>
          <w:szCs w:val="18"/>
          <w:u w:val="single"/>
        </w:rPr>
        <w:t>mesos</w:t>
      </w:r>
      <w:r w:rsidR="00082211" w:rsidRPr="005F2E1E">
        <w:rPr>
          <w:rFonts w:asciiTheme="majorHAnsi" w:hAnsiTheme="majorHAnsi" w:cstheme="majorHAnsi"/>
          <w:sz w:val="18"/>
          <w:szCs w:val="18"/>
        </w:rPr>
        <w:t>.</w:t>
      </w:r>
      <w:r w:rsidRPr="005F2E1E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048FF81" w14:textId="3AB1817E" w:rsidR="00F4654F" w:rsidRPr="005F2E1E" w:rsidRDefault="00F4654F" w:rsidP="003D29F9">
      <w:pPr>
        <w:ind w:firstLine="708"/>
        <w:rPr>
          <w:rFonts w:asciiTheme="majorHAnsi" w:hAnsiTheme="majorHAnsi" w:cstheme="majorHAnsi"/>
          <w:b/>
          <w:bCs/>
        </w:rPr>
      </w:pPr>
      <w:r w:rsidRPr="005F2E1E">
        <w:rPr>
          <w:rFonts w:asciiTheme="majorHAnsi" w:hAnsiTheme="majorHAnsi" w:cstheme="majorHAnsi"/>
          <w:b/>
          <w:bCs/>
        </w:rPr>
        <w:t xml:space="preserve">PROCEDIMENT ORDINARI </w:t>
      </w:r>
      <w:r w:rsidRPr="005F2E1E">
        <w:rPr>
          <w:rFonts w:asciiTheme="majorHAnsi" w:hAnsiTheme="majorHAnsi" w:cstheme="majorHAnsi"/>
          <w:b/>
          <w:bCs/>
        </w:rPr>
        <w:tab/>
      </w:r>
      <w:r w:rsidRPr="005F2E1E">
        <w:rPr>
          <w:rFonts w:asciiTheme="majorHAnsi" w:hAnsiTheme="majorHAnsi" w:cstheme="majorHAnsi"/>
          <w:b/>
          <w:bCs/>
        </w:rPr>
        <w:tab/>
      </w:r>
      <w:r w:rsidRPr="005F2E1E">
        <w:rPr>
          <w:rFonts w:asciiTheme="majorHAnsi" w:hAnsiTheme="majorHAnsi" w:cstheme="majorHAnsi"/>
          <w:b/>
          <w:bCs/>
        </w:rPr>
        <w:tab/>
      </w:r>
      <w:r w:rsidRPr="005F2E1E">
        <w:rPr>
          <w:rFonts w:asciiTheme="majorHAnsi" w:hAnsiTheme="majorHAnsi" w:cstheme="majorHAnsi"/>
          <w:b/>
          <w:bCs/>
        </w:rPr>
        <w:tab/>
      </w:r>
      <w:r w:rsidRPr="005F2E1E">
        <w:rPr>
          <w:rFonts w:asciiTheme="majorHAnsi" w:hAnsiTheme="majorHAnsi" w:cstheme="majorHAnsi"/>
          <w:b/>
          <w:bCs/>
        </w:rPr>
        <w:tab/>
        <w:t>PROCEDIMENT ABREUJAT</w:t>
      </w:r>
    </w:p>
    <w:p w14:paraId="7FF1D721" w14:textId="788C8A93" w:rsidR="00F4654F" w:rsidRPr="005F2E1E" w:rsidRDefault="001A4BF5" w:rsidP="00F4654F">
      <w:pPr>
        <w:rPr>
          <w:rFonts w:asciiTheme="majorHAnsi" w:hAnsiTheme="majorHAnsi" w:cstheme="majorHAnsi"/>
          <w:sz w:val="18"/>
          <w:szCs w:val="18"/>
        </w:rPr>
      </w:pPr>
      <w:r w:rsidRPr="005F2E1E">
        <w:rPr>
          <w:noProof/>
        </w:rPr>
        <w:drawing>
          <wp:inline distT="0" distB="0" distL="0" distR="0" wp14:anchorId="2B6F1148" wp14:editId="092D336A">
            <wp:extent cx="3498850" cy="1772920"/>
            <wp:effectExtent l="0" t="0" r="6350" b="0"/>
            <wp:docPr id="205250996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BE44D12-01CE-B2EA-91EA-CC8A7D17069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5F2E1E">
        <w:rPr>
          <w:noProof/>
        </w:rPr>
        <w:drawing>
          <wp:inline distT="0" distB="0" distL="0" distR="0" wp14:anchorId="4FD033C2" wp14:editId="142167CE">
            <wp:extent cx="3591560" cy="1605280"/>
            <wp:effectExtent l="0" t="0" r="8890" b="0"/>
            <wp:docPr id="26645127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A249962-B357-8DC6-9144-E08DB15764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="00E725D8" w:rsidRPr="005F2E1E">
        <w:rPr>
          <w:rFonts w:asciiTheme="majorHAnsi" w:hAnsiTheme="majorHAnsi" w:cstheme="majorHAnsi"/>
          <w:sz w:val="18"/>
          <w:szCs w:val="18"/>
        </w:rPr>
        <w:t xml:space="preserve">En consonància amb la durada total dels procediments, el procediment abreujat ha tingut una durada total de </w:t>
      </w:r>
      <w:r w:rsidR="00E725D8" w:rsidRPr="007F1E6F">
        <w:rPr>
          <w:rFonts w:asciiTheme="majorHAnsi" w:hAnsiTheme="majorHAnsi" w:cstheme="majorHAnsi"/>
          <w:b/>
          <w:bCs/>
          <w:sz w:val="18"/>
          <w:szCs w:val="18"/>
        </w:rPr>
        <w:t>8,3</w:t>
      </w:r>
      <w:r w:rsidR="00E725D8" w:rsidRPr="005F2E1E">
        <w:rPr>
          <w:rFonts w:asciiTheme="majorHAnsi" w:hAnsiTheme="majorHAnsi" w:cstheme="majorHAnsi"/>
          <w:sz w:val="18"/>
          <w:szCs w:val="18"/>
        </w:rPr>
        <w:t xml:space="preserve"> mesos</w:t>
      </w:r>
      <w:r w:rsidR="007F1E6F">
        <w:rPr>
          <w:rFonts w:asciiTheme="majorHAnsi" w:hAnsiTheme="majorHAnsi" w:cstheme="majorHAnsi"/>
          <w:sz w:val="18"/>
          <w:szCs w:val="18"/>
        </w:rPr>
        <w:t>, menys durada en relació a l’any passat,</w:t>
      </w:r>
      <w:r w:rsidR="00E725D8" w:rsidRPr="005F2E1E">
        <w:rPr>
          <w:rFonts w:asciiTheme="majorHAnsi" w:hAnsiTheme="majorHAnsi" w:cstheme="majorHAnsi"/>
          <w:sz w:val="18"/>
          <w:szCs w:val="18"/>
        </w:rPr>
        <w:t xml:space="preserve"> i</w:t>
      </w:r>
      <w:r w:rsidR="00594125">
        <w:rPr>
          <w:rFonts w:asciiTheme="majorHAnsi" w:hAnsiTheme="majorHAnsi" w:cstheme="majorHAnsi"/>
          <w:sz w:val="18"/>
          <w:szCs w:val="18"/>
        </w:rPr>
        <w:t xml:space="preserve"> respecte del </w:t>
      </w:r>
      <w:r w:rsidR="00E725D8" w:rsidRPr="005F2E1E">
        <w:rPr>
          <w:rFonts w:asciiTheme="majorHAnsi" w:hAnsiTheme="majorHAnsi" w:cstheme="majorHAnsi"/>
          <w:sz w:val="18"/>
          <w:szCs w:val="18"/>
        </w:rPr>
        <w:t xml:space="preserve">procediment ordinari </w:t>
      </w:r>
      <w:r w:rsidR="00594125">
        <w:rPr>
          <w:rFonts w:asciiTheme="majorHAnsi" w:hAnsiTheme="majorHAnsi" w:cstheme="majorHAnsi"/>
          <w:sz w:val="18"/>
          <w:szCs w:val="18"/>
        </w:rPr>
        <w:t xml:space="preserve">es manté la mateixa durada havent </w:t>
      </w:r>
      <w:r w:rsidR="0037442E">
        <w:rPr>
          <w:rFonts w:asciiTheme="majorHAnsi" w:hAnsiTheme="majorHAnsi" w:cstheme="majorHAnsi"/>
          <w:sz w:val="18"/>
          <w:szCs w:val="18"/>
        </w:rPr>
        <w:t>disminuït</w:t>
      </w:r>
      <w:r w:rsidR="00594125">
        <w:rPr>
          <w:rFonts w:asciiTheme="majorHAnsi" w:hAnsiTheme="majorHAnsi" w:cstheme="majorHAnsi"/>
          <w:sz w:val="18"/>
          <w:szCs w:val="18"/>
        </w:rPr>
        <w:t xml:space="preserve"> la </w:t>
      </w:r>
      <w:r w:rsidR="00D449A2">
        <w:rPr>
          <w:rFonts w:asciiTheme="majorHAnsi" w:hAnsiTheme="majorHAnsi" w:cstheme="majorHAnsi"/>
          <w:sz w:val="18"/>
          <w:szCs w:val="18"/>
        </w:rPr>
        <w:t>franja corresponent al</w:t>
      </w:r>
      <w:r w:rsidR="00594125">
        <w:rPr>
          <w:rFonts w:asciiTheme="majorHAnsi" w:hAnsiTheme="majorHAnsi" w:cstheme="majorHAnsi"/>
          <w:sz w:val="18"/>
          <w:szCs w:val="18"/>
        </w:rPr>
        <w:t xml:space="preserve"> tràmit </w:t>
      </w:r>
      <w:proofErr w:type="spellStart"/>
      <w:r w:rsidR="00594125">
        <w:rPr>
          <w:rFonts w:asciiTheme="majorHAnsi" w:hAnsiTheme="majorHAnsi" w:cstheme="majorHAnsi"/>
          <w:sz w:val="18"/>
          <w:szCs w:val="18"/>
        </w:rPr>
        <w:t>prearbitral</w:t>
      </w:r>
      <w:proofErr w:type="spellEnd"/>
      <w:r w:rsidR="00E725D8" w:rsidRPr="005F2E1E">
        <w:rPr>
          <w:rFonts w:asciiTheme="majorHAnsi" w:hAnsiTheme="majorHAnsi" w:cstheme="majorHAnsi"/>
          <w:sz w:val="18"/>
          <w:szCs w:val="18"/>
        </w:rPr>
        <w:t>.</w:t>
      </w:r>
    </w:p>
    <w:p w14:paraId="39954A8C" w14:textId="42AD2243" w:rsidR="001A4BF5" w:rsidRPr="005F2E1E" w:rsidRDefault="003347BE" w:rsidP="00AF5248">
      <w:pPr>
        <w:jc w:val="right"/>
        <w:rPr>
          <w:rFonts w:asciiTheme="majorHAnsi" w:hAnsiTheme="majorHAnsi" w:cstheme="majorHAnsi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621DBFB9" wp14:editId="0CBB79BF">
            <wp:simplePos x="0" y="0"/>
            <wp:positionH relativeFrom="margin">
              <wp:align>left</wp:align>
            </wp:positionH>
            <wp:positionV relativeFrom="page">
              <wp:posOffset>8067675</wp:posOffset>
            </wp:positionV>
            <wp:extent cx="3219450" cy="1914525"/>
            <wp:effectExtent l="0" t="0" r="0" b="0"/>
            <wp:wrapTight wrapText="bothSides">
              <wp:wrapPolygon edited="0">
                <wp:start x="0" y="0"/>
                <wp:lineTo x="0" y="21278"/>
                <wp:lineTo x="21472" y="21278"/>
                <wp:lineTo x="21472" y="0"/>
                <wp:lineTo x="0" y="0"/>
              </wp:wrapPolygon>
            </wp:wrapTight>
            <wp:docPr id="66862461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F68AC06-FEAE-4EB9-0AB7-29EFA1E546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374564" w14:textId="25F97D27" w:rsidR="00F64537" w:rsidRDefault="00F64537" w:rsidP="00F64537">
      <w:pPr>
        <w:jc w:val="right"/>
        <w:rPr>
          <w:rFonts w:asciiTheme="majorHAnsi" w:hAnsiTheme="majorHAnsi" w:cstheme="majorHAnsi"/>
          <w:sz w:val="18"/>
          <w:szCs w:val="18"/>
        </w:rPr>
      </w:pPr>
    </w:p>
    <w:p w14:paraId="31062E88" w14:textId="42C17A72" w:rsidR="00F64537" w:rsidRDefault="00F64537" w:rsidP="00D069AD">
      <w:pPr>
        <w:jc w:val="center"/>
        <w:rPr>
          <w:rFonts w:asciiTheme="majorHAnsi" w:hAnsiTheme="majorHAnsi" w:cstheme="majorHAnsi"/>
          <w:sz w:val="18"/>
          <w:szCs w:val="18"/>
        </w:rPr>
      </w:pPr>
    </w:p>
    <w:p w14:paraId="1D4D3F06" w14:textId="3B5E7047" w:rsidR="001A4BF5" w:rsidRPr="005F2E1E" w:rsidRDefault="00EA546A" w:rsidP="00D069AD">
      <w:pPr>
        <w:jc w:val="center"/>
        <w:rPr>
          <w:rFonts w:asciiTheme="majorHAnsi" w:hAnsiTheme="majorHAnsi" w:cstheme="majorHAnsi"/>
          <w:sz w:val="18"/>
          <w:szCs w:val="18"/>
        </w:rPr>
      </w:pPr>
      <w:r w:rsidRPr="005F2E1E">
        <w:rPr>
          <w:rFonts w:asciiTheme="majorHAnsi" w:hAnsiTheme="majorHAnsi" w:cstheme="majorHAnsi"/>
          <w:sz w:val="18"/>
          <w:szCs w:val="18"/>
        </w:rPr>
        <w:t xml:space="preserve">Aquest any el compliment voluntari de laude suposa el </w:t>
      </w:r>
      <w:r w:rsidR="00F64537">
        <w:rPr>
          <w:rFonts w:asciiTheme="majorHAnsi" w:hAnsiTheme="majorHAnsi" w:cstheme="majorHAnsi"/>
          <w:sz w:val="18"/>
          <w:szCs w:val="18"/>
        </w:rPr>
        <w:t>75</w:t>
      </w:r>
      <w:r w:rsidRPr="005F2E1E">
        <w:rPr>
          <w:rFonts w:asciiTheme="majorHAnsi" w:hAnsiTheme="majorHAnsi" w:cstheme="majorHAnsi"/>
          <w:sz w:val="18"/>
          <w:szCs w:val="18"/>
        </w:rPr>
        <w:t xml:space="preserve">% dels laudes. </w:t>
      </w:r>
    </w:p>
    <w:p w14:paraId="3E471EE9" w14:textId="62F5DA10" w:rsidR="001A4BF5" w:rsidRPr="005F2E1E" w:rsidRDefault="005F2E1E" w:rsidP="00557D69">
      <w:pPr>
        <w:jc w:val="center"/>
        <w:rPr>
          <w:rFonts w:asciiTheme="majorHAnsi" w:hAnsiTheme="majorHAnsi" w:cstheme="majorHAnsi"/>
          <w:sz w:val="18"/>
          <w:szCs w:val="18"/>
        </w:rPr>
      </w:pPr>
      <w:r w:rsidRPr="005F2E1E">
        <w:rPr>
          <w:rFonts w:asciiTheme="majorHAnsi" w:hAnsiTheme="majorHAnsi" w:cstheme="majorHAnsi"/>
          <w:sz w:val="18"/>
          <w:szCs w:val="18"/>
        </w:rPr>
        <w:t xml:space="preserve">Els laudes impugnats davant del TSJ de Catalunya suposen un </w:t>
      </w:r>
      <w:r w:rsidR="00F64537">
        <w:rPr>
          <w:rFonts w:asciiTheme="majorHAnsi" w:hAnsiTheme="majorHAnsi" w:cstheme="majorHAnsi"/>
          <w:sz w:val="18"/>
          <w:szCs w:val="18"/>
        </w:rPr>
        <w:t>8</w:t>
      </w:r>
      <w:r w:rsidRPr="005F2E1E">
        <w:rPr>
          <w:rFonts w:asciiTheme="majorHAnsi" w:hAnsiTheme="majorHAnsi" w:cstheme="majorHAnsi"/>
          <w:sz w:val="18"/>
          <w:szCs w:val="18"/>
        </w:rPr>
        <w:t>%</w:t>
      </w:r>
      <w:r w:rsidR="00F64537">
        <w:rPr>
          <w:rFonts w:asciiTheme="majorHAnsi" w:hAnsiTheme="majorHAnsi" w:cstheme="majorHAnsi"/>
          <w:sz w:val="18"/>
          <w:szCs w:val="18"/>
        </w:rPr>
        <w:t>, percentatge molt similar al de l’any 2023</w:t>
      </w:r>
      <w:r w:rsidRPr="005F2E1E">
        <w:rPr>
          <w:rFonts w:asciiTheme="majorHAnsi" w:hAnsiTheme="majorHAnsi" w:cstheme="majorHAnsi"/>
          <w:sz w:val="18"/>
          <w:szCs w:val="18"/>
        </w:rPr>
        <w:t>, si bé en els últims tres anys no ha hagut cap nul·litat de</w:t>
      </w:r>
      <w:r w:rsidR="00F5644E">
        <w:rPr>
          <w:rFonts w:asciiTheme="majorHAnsi" w:hAnsiTheme="majorHAnsi" w:cstheme="majorHAnsi"/>
          <w:sz w:val="18"/>
          <w:szCs w:val="18"/>
        </w:rPr>
        <w:t>ls</w:t>
      </w:r>
      <w:r w:rsidRPr="005F2E1E">
        <w:rPr>
          <w:rFonts w:asciiTheme="majorHAnsi" w:hAnsiTheme="majorHAnsi" w:cstheme="majorHAnsi"/>
          <w:sz w:val="18"/>
          <w:szCs w:val="18"/>
        </w:rPr>
        <w:t xml:space="preserve"> laudes impugnats.</w:t>
      </w:r>
      <w:r w:rsidR="000B72D3">
        <w:rPr>
          <w:rFonts w:asciiTheme="majorHAnsi" w:hAnsiTheme="majorHAnsi" w:cstheme="majorHAnsi"/>
          <w:sz w:val="18"/>
          <w:szCs w:val="18"/>
        </w:rPr>
        <w:t xml:space="preserve"> </w:t>
      </w:r>
      <w:r w:rsidRPr="005F2E1E">
        <w:rPr>
          <w:rFonts w:asciiTheme="majorHAnsi" w:hAnsiTheme="majorHAnsi" w:cstheme="majorHAnsi"/>
          <w:sz w:val="18"/>
          <w:szCs w:val="18"/>
        </w:rPr>
        <w:t xml:space="preserve">Pel que fa als laudes executats judicialment el percentatge </w:t>
      </w:r>
      <w:r w:rsidR="00F64537">
        <w:rPr>
          <w:rFonts w:asciiTheme="majorHAnsi" w:hAnsiTheme="majorHAnsi" w:cstheme="majorHAnsi"/>
          <w:sz w:val="18"/>
          <w:szCs w:val="18"/>
        </w:rPr>
        <w:t>és molt similar al de l’any passat essent d’un 17%</w:t>
      </w:r>
      <w:r w:rsidRPr="005F2E1E">
        <w:rPr>
          <w:rFonts w:asciiTheme="majorHAnsi" w:hAnsiTheme="majorHAnsi" w:cstheme="majorHAnsi"/>
          <w:sz w:val="18"/>
          <w:szCs w:val="18"/>
        </w:rPr>
        <w:t>.</w:t>
      </w:r>
    </w:p>
    <w:sectPr w:rsidR="001A4BF5" w:rsidRPr="005F2E1E" w:rsidSect="00685C03">
      <w:headerReference w:type="default" r:id="rId18"/>
      <w:headerReference w:type="first" r:id="rId19"/>
      <w:footerReference w:type="first" r:id="rId20"/>
      <w:pgSz w:w="11906" w:h="16838"/>
      <w:pgMar w:top="1053" w:right="284" w:bottom="567" w:left="28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BD4BD" w14:textId="77777777" w:rsidR="00C80CA4" w:rsidRPr="005F2E1E" w:rsidRDefault="00C80CA4" w:rsidP="00650DEF">
      <w:pPr>
        <w:spacing w:after="0" w:line="240" w:lineRule="auto"/>
      </w:pPr>
      <w:r w:rsidRPr="005F2E1E">
        <w:separator/>
      </w:r>
    </w:p>
  </w:endnote>
  <w:endnote w:type="continuationSeparator" w:id="0">
    <w:p w14:paraId="3F0FF3DA" w14:textId="77777777" w:rsidR="00C80CA4" w:rsidRPr="005F2E1E" w:rsidRDefault="00C80CA4" w:rsidP="00650DEF">
      <w:pPr>
        <w:spacing w:after="0" w:line="240" w:lineRule="auto"/>
      </w:pPr>
      <w:r w:rsidRPr="005F2E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U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A7A5" w14:textId="77777777" w:rsidR="00650DEF" w:rsidRPr="005F2E1E" w:rsidRDefault="00650DEF" w:rsidP="00650DEF">
    <w:pPr>
      <w:autoSpaceDE w:val="0"/>
      <w:autoSpaceDN w:val="0"/>
      <w:adjustRightInd w:val="0"/>
      <w:spacing w:after="0" w:line="240" w:lineRule="auto"/>
      <w:jc w:val="center"/>
      <w:rPr>
        <w:rFonts w:ascii="NirmalaUI" w:hAnsi="NirmalaUI" w:cs="NirmalaUI"/>
        <w:sz w:val="12"/>
        <w:szCs w:val="12"/>
      </w:rPr>
    </w:pPr>
    <w:r w:rsidRPr="005F2E1E">
      <w:rPr>
        <w:rFonts w:ascii="NirmalaUI" w:hAnsi="NirmalaUI" w:cs="NirmalaUI"/>
        <w:sz w:val="12"/>
        <w:szCs w:val="12"/>
      </w:rPr>
      <w:t xml:space="preserve">Roger de </w:t>
    </w:r>
    <w:proofErr w:type="spellStart"/>
    <w:r w:rsidRPr="005F2E1E">
      <w:rPr>
        <w:rFonts w:ascii="NirmalaUI" w:hAnsi="NirmalaUI" w:cs="NirmalaUI"/>
        <w:sz w:val="12"/>
        <w:szCs w:val="12"/>
      </w:rPr>
      <w:t>Llúria</w:t>
    </w:r>
    <w:proofErr w:type="spellEnd"/>
    <w:r w:rsidRPr="005F2E1E">
      <w:rPr>
        <w:rFonts w:ascii="NirmalaUI" w:hAnsi="NirmalaUI" w:cs="NirmalaUI"/>
        <w:sz w:val="12"/>
        <w:szCs w:val="12"/>
      </w:rPr>
      <w:t>, 113. 08037 Barcelona, Spain • T. (+34) 933 198 117 secretaria@tab.es • www.tab.es</w:t>
    </w:r>
  </w:p>
  <w:p w14:paraId="1BE41460" w14:textId="77777777" w:rsidR="00650DEF" w:rsidRPr="005F2E1E" w:rsidRDefault="00650DEF" w:rsidP="00650DEF">
    <w:pPr>
      <w:autoSpaceDE w:val="0"/>
      <w:autoSpaceDN w:val="0"/>
      <w:adjustRightInd w:val="0"/>
      <w:spacing w:after="0" w:line="240" w:lineRule="auto"/>
      <w:jc w:val="center"/>
      <w:rPr>
        <w:rFonts w:ascii="NirmalaUI" w:hAnsi="NirmalaUI" w:cs="NirmalaUI"/>
        <w:sz w:val="12"/>
        <w:szCs w:val="12"/>
      </w:rPr>
    </w:pPr>
    <w:r w:rsidRPr="005F2E1E">
      <w:rPr>
        <w:rFonts w:ascii="NirmalaUI" w:hAnsi="NirmalaUI" w:cs="NirmalaUI"/>
        <w:sz w:val="12"/>
        <w:szCs w:val="12"/>
      </w:rPr>
      <w:t xml:space="preserve">Tribunal Arbitral de Barcelona® · Tribunal Arbitral de Catalunya® Associació Catalana per a </w:t>
    </w:r>
    <w:proofErr w:type="spellStart"/>
    <w:r w:rsidRPr="005F2E1E">
      <w:rPr>
        <w:rFonts w:ascii="NirmalaUI" w:hAnsi="NirmalaUI" w:cs="NirmalaUI"/>
        <w:sz w:val="12"/>
        <w:szCs w:val="12"/>
      </w:rPr>
      <w:t>lʼArbitratge</w:t>
    </w:r>
    <w:proofErr w:type="spellEnd"/>
    <w:r w:rsidRPr="005F2E1E">
      <w:rPr>
        <w:rFonts w:ascii="NirmalaUI" w:hAnsi="NirmalaUI" w:cs="NirmalaUI"/>
        <w:sz w:val="12"/>
        <w:szCs w:val="12"/>
      </w:rPr>
      <w:t>.</w:t>
    </w:r>
  </w:p>
  <w:p w14:paraId="17EE5988" w14:textId="77777777" w:rsidR="00650DEF" w:rsidRPr="005F2E1E" w:rsidRDefault="00650DEF" w:rsidP="00650DEF">
    <w:pPr>
      <w:pStyle w:val="Piedepgina"/>
      <w:jc w:val="center"/>
      <w:rPr>
        <w:sz w:val="12"/>
        <w:szCs w:val="12"/>
      </w:rPr>
    </w:pPr>
    <w:r w:rsidRPr="005F2E1E">
      <w:rPr>
        <w:rFonts w:ascii="NirmalaUI" w:hAnsi="NirmalaUI" w:cs="NirmalaUI"/>
        <w:sz w:val="12"/>
        <w:szCs w:val="12"/>
      </w:rPr>
      <w:t xml:space="preserve">CIF núm. G-58941964. Inscrita en el Registre </w:t>
    </w:r>
    <w:proofErr w:type="spellStart"/>
    <w:r w:rsidRPr="005F2E1E">
      <w:rPr>
        <w:rFonts w:ascii="NirmalaUI" w:hAnsi="NirmalaUI" w:cs="NirmalaUI"/>
        <w:sz w:val="12"/>
        <w:szCs w:val="12"/>
      </w:rPr>
      <w:t>dʼAssociacions</w:t>
    </w:r>
    <w:proofErr w:type="spellEnd"/>
    <w:r w:rsidRPr="005F2E1E">
      <w:rPr>
        <w:rFonts w:ascii="NirmalaUI" w:hAnsi="NirmalaUI" w:cs="NirmalaUI"/>
        <w:sz w:val="12"/>
        <w:szCs w:val="12"/>
      </w:rPr>
      <w:t xml:space="preserve"> de la Generalitat de Catalunya amb el núm. 10643.</w:t>
    </w:r>
  </w:p>
  <w:p w14:paraId="4CB8F420" w14:textId="77777777" w:rsidR="00650DEF" w:rsidRPr="005F2E1E" w:rsidRDefault="00650D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82E36" w14:textId="77777777" w:rsidR="00C80CA4" w:rsidRPr="005F2E1E" w:rsidRDefault="00C80CA4" w:rsidP="00650DEF">
      <w:pPr>
        <w:spacing w:after="0" w:line="240" w:lineRule="auto"/>
      </w:pPr>
      <w:r w:rsidRPr="005F2E1E">
        <w:separator/>
      </w:r>
    </w:p>
  </w:footnote>
  <w:footnote w:type="continuationSeparator" w:id="0">
    <w:p w14:paraId="6C1F7C53" w14:textId="77777777" w:rsidR="00C80CA4" w:rsidRPr="005F2E1E" w:rsidRDefault="00C80CA4" w:rsidP="00650DEF">
      <w:pPr>
        <w:spacing w:after="0" w:line="240" w:lineRule="auto"/>
      </w:pPr>
      <w:r w:rsidRPr="005F2E1E">
        <w:continuationSeparator/>
      </w:r>
    </w:p>
  </w:footnote>
  <w:footnote w:id="1">
    <w:p w14:paraId="22CECD73" w14:textId="40DD4A77" w:rsidR="005C6655" w:rsidRPr="00E725D8" w:rsidRDefault="005C6655" w:rsidP="005C6655">
      <w:pPr>
        <w:pStyle w:val="Textonotapie"/>
        <w:jc w:val="both"/>
        <w:rPr>
          <w:rFonts w:asciiTheme="majorHAnsi" w:hAnsiTheme="majorHAnsi" w:cstheme="majorHAnsi"/>
          <w:sz w:val="16"/>
          <w:szCs w:val="16"/>
          <w:lang w:val="es-ES"/>
        </w:rPr>
      </w:pPr>
      <w:r w:rsidRPr="005F2E1E">
        <w:rPr>
          <w:rStyle w:val="Refdenotaalpie"/>
          <w:rFonts w:asciiTheme="majorHAnsi" w:hAnsiTheme="majorHAnsi" w:cstheme="majorHAnsi"/>
          <w:sz w:val="16"/>
          <w:szCs w:val="16"/>
        </w:rPr>
        <w:footnoteRef/>
      </w:r>
      <w:r w:rsidRPr="005F2E1E">
        <w:rPr>
          <w:rFonts w:asciiTheme="majorHAnsi" w:hAnsiTheme="majorHAnsi" w:cstheme="majorHAnsi"/>
          <w:sz w:val="16"/>
          <w:szCs w:val="16"/>
        </w:rPr>
        <w:t xml:space="preserve"> Les dades de la durada dels procediments s’expressen amb mitjanes acotades, excloent del càlcul els dos arbitratges de menor i major </w:t>
      </w:r>
      <w:r w:rsidR="005F2E1E" w:rsidRPr="005F2E1E">
        <w:rPr>
          <w:rFonts w:asciiTheme="majorHAnsi" w:hAnsiTheme="majorHAnsi" w:cstheme="majorHAnsi"/>
          <w:sz w:val="16"/>
          <w:szCs w:val="16"/>
        </w:rPr>
        <w:t>durada</w:t>
      </w:r>
      <w:r w:rsidRPr="005F2E1E">
        <w:rPr>
          <w:rFonts w:asciiTheme="majorHAnsi" w:hAnsiTheme="majorHAnsi" w:cstheme="majorHAnsi"/>
          <w:sz w:val="16"/>
          <w:szCs w:val="16"/>
        </w:rPr>
        <w:t xml:space="preserve"> per tenir una visió més real. Destaquem igualment que el procediment abreujat de menor durada ha estat de </w:t>
      </w:r>
      <w:r w:rsidRPr="005F2E1E">
        <w:rPr>
          <w:rFonts w:asciiTheme="majorHAnsi" w:hAnsiTheme="majorHAnsi" w:cstheme="majorHAnsi"/>
          <w:b/>
          <w:bCs/>
          <w:sz w:val="16"/>
          <w:szCs w:val="16"/>
          <w:u w:val="single"/>
        </w:rPr>
        <w:t>7,2</w:t>
      </w:r>
      <w:r w:rsidRPr="005F2E1E">
        <w:rPr>
          <w:rFonts w:asciiTheme="majorHAnsi" w:hAnsiTheme="majorHAnsi" w:cstheme="majorHAnsi"/>
          <w:sz w:val="16"/>
          <w:szCs w:val="16"/>
          <w:u w:val="single"/>
        </w:rPr>
        <w:t xml:space="preserve"> mesos</w:t>
      </w:r>
      <w:r w:rsidRPr="005F2E1E">
        <w:rPr>
          <w:rFonts w:asciiTheme="majorHAnsi" w:hAnsiTheme="majorHAnsi" w:cstheme="majorHAnsi"/>
          <w:sz w:val="16"/>
          <w:szCs w:val="16"/>
        </w:rPr>
        <w:t xml:space="preserve"> i en el cas del procediment ordinari ha estat de </w:t>
      </w:r>
      <w:r w:rsidRPr="005F2E1E">
        <w:rPr>
          <w:rFonts w:asciiTheme="majorHAnsi" w:hAnsiTheme="majorHAnsi" w:cstheme="majorHAnsi"/>
          <w:b/>
          <w:bCs/>
          <w:sz w:val="16"/>
          <w:szCs w:val="16"/>
          <w:u w:val="single"/>
        </w:rPr>
        <w:t>8,4</w:t>
      </w:r>
      <w:r w:rsidRPr="005F2E1E">
        <w:rPr>
          <w:rFonts w:asciiTheme="majorHAnsi" w:hAnsiTheme="majorHAnsi" w:cstheme="majorHAnsi"/>
          <w:sz w:val="16"/>
          <w:szCs w:val="16"/>
          <w:u w:val="single"/>
        </w:rPr>
        <w:t xml:space="preserve"> mesos</w:t>
      </w:r>
      <w:r w:rsidRPr="005F2E1E">
        <w:rPr>
          <w:rFonts w:asciiTheme="majorHAnsi" w:hAnsiTheme="majorHAnsi" w:cstheme="majorHAns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94FEF" w14:textId="0AFC0CCE" w:rsidR="00650DEF" w:rsidRPr="005F2E1E" w:rsidRDefault="00650DEF" w:rsidP="00650DEF">
    <w:pPr>
      <w:pStyle w:val="Encabezado"/>
      <w:jc w:val="right"/>
    </w:pPr>
    <w:r w:rsidRPr="005F2E1E">
      <w:rPr>
        <w:noProof/>
      </w:rPr>
      <w:drawing>
        <wp:inline distT="0" distB="0" distL="0" distR="0" wp14:anchorId="0283F390" wp14:editId="39E8D46F">
          <wp:extent cx="647700" cy="647700"/>
          <wp:effectExtent l="0" t="0" r="0" b="0"/>
          <wp:docPr id="1276775803" name="Imagen 12767758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52139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087DD" w14:textId="5EFC748D" w:rsidR="00650DEF" w:rsidRPr="005F2E1E" w:rsidRDefault="00650DEF" w:rsidP="00650DEF">
    <w:pPr>
      <w:pStyle w:val="Encabezado"/>
      <w:jc w:val="right"/>
    </w:pPr>
    <w:r w:rsidRPr="005F2E1E">
      <w:rPr>
        <w:noProof/>
      </w:rPr>
      <w:drawing>
        <wp:inline distT="0" distB="0" distL="0" distR="0" wp14:anchorId="16102FD9" wp14:editId="233CB019">
          <wp:extent cx="730250" cy="730250"/>
          <wp:effectExtent l="0" t="0" r="0" b="0"/>
          <wp:docPr id="1935085678" name="Imagen 1935085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52139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0250" cy="730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BB6"/>
    <w:rsid w:val="000032C3"/>
    <w:rsid w:val="00004248"/>
    <w:rsid w:val="00022E10"/>
    <w:rsid w:val="00023A18"/>
    <w:rsid w:val="00024F2E"/>
    <w:rsid w:val="000449A4"/>
    <w:rsid w:val="00055CA2"/>
    <w:rsid w:val="000716E2"/>
    <w:rsid w:val="00082211"/>
    <w:rsid w:val="000B72D3"/>
    <w:rsid w:val="000F36BD"/>
    <w:rsid w:val="00102B75"/>
    <w:rsid w:val="00114D29"/>
    <w:rsid w:val="001258D9"/>
    <w:rsid w:val="001566F7"/>
    <w:rsid w:val="00161B79"/>
    <w:rsid w:val="001A4BF5"/>
    <w:rsid w:val="001C7E8A"/>
    <w:rsid w:val="001D1EF7"/>
    <w:rsid w:val="00251AE0"/>
    <w:rsid w:val="002836FD"/>
    <w:rsid w:val="00285A14"/>
    <w:rsid w:val="002C2D3C"/>
    <w:rsid w:val="002D5FC3"/>
    <w:rsid w:val="002D6768"/>
    <w:rsid w:val="002E1AAB"/>
    <w:rsid w:val="0032670C"/>
    <w:rsid w:val="003347BE"/>
    <w:rsid w:val="003363F2"/>
    <w:rsid w:val="0037442E"/>
    <w:rsid w:val="003A301D"/>
    <w:rsid w:val="003A6775"/>
    <w:rsid w:val="003D29F9"/>
    <w:rsid w:val="003F77C6"/>
    <w:rsid w:val="00400CB4"/>
    <w:rsid w:val="00415103"/>
    <w:rsid w:val="00455266"/>
    <w:rsid w:val="00485D41"/>
    <w:rsid w:val="004A7D13"/>
    <w:rsid w:val="004E7F40"/>
    <w:rsid w:val="00525062"/>
    <w:rsid w:val="0052560F"/>
    <w:rsid w:val="00552245"/>
    <w:rsid w:val="00557D69"/>
    <w:rsid w:val="00563352"/>
    <w:rsid w:val="005729AB"/>
    <w:rsid w:val="00576F20"/>
    <w:rsid w:val="00594125"/>
    <w:rsid w:val="00595388"/>
    <w:rsid w:val="005A42B7"/>
    <w:rsid w:val="005A6A36"/>
    <w:rsid w:val="005B3886"/>
    <w:rsid w:val="005C501F"/>
    <w:rsid w:val="005C6655"/>
    <w:rsid w:val="005F2E1E"/>
    <w:rsid w:val="00620E5E"/>
    <w:rsid w:val="006250CC"/>
    <w:rsid w:val="0064686A"/>
    <w:rsid w:val="00650DEF"/>
    <w:rsid w:val="00671FBD"/>
    <w:rsid w:val="00685C03"/>
    <w:rsid w:val="006A410C"/>
    <w:rsid w:val="006D5D92"/>
    <w:rsid w:val="006D7983"/>
    <w:rsid w:val="006F3A75"/>
    <w:rsid w:val="006F715F"/>
    <w:rsid w:val="0070785D"/>
    <w:rsid w:val="007130BA"/>
    <w:rsid w:val="0072612B"/>
    <w:rsid w:val="00731826"/>
    <w:rsid w:val="00736DE2"/>
    <w:rsid w:val="00740CAD"/>
    <w:rsid w:val="00753F5D"/>
    <w:rsid w:val="007555C8"/>
    <w:rsid w:val="007C1093"/>
    <w:rsid w:val="007E4E39"/>
    <w:rsid w:val="007E54C9"/>
    <w:rsid w:val="007F1E6F"/>
    <w:rsid w:val="00810E2A"/>
    <w:rsid w:val="00826C45"/>
    <w:rsid w:val="0086146F"/>
    <w:rsid w:val="008D748F"/>
    <w:rsid w:val="009048B4"/>
    <w:rsid w:val="00905992"/>
    <w:rsid w:val="00942BBD"/>
    <w:rsid w:val="0096180D"/>
    <w:rsid w:val="009B67CD"/>
    <w:rsid w:val="009C3729"/>
    <w:rsid w:val="00A269E7"/>
    <w:rsid w:val="00A32B39"/>
    <w:rsid w:val="00A518D2"/>
    <w:rsid w:val="00A8052B"/>
    <w:rsid w:val="00A958B2"/>
    <w:rsid w:val="00AA4A87"/>
    <w:rsid w:val="00AB5A6C"/>
    <w:rsid w:val="00AC6A9A"/>
    <w:rsid w:val="00AF5248"/>
    <w:rsid w:val="00B3062B"/>
    <w:rsid w:val="00BC4120"/>
    <w:rsid w:val="00BE611C"/>
    <w:rsid w:val="00BF181F"/>
    <w:rsid w:val="00C80CA4"/>
    <w:rsid w:val="00C821F2"/>
    <w:rsid w:val="00C908D1"/>
    <w:rsid w:val="00CB07A2"/>
    <w:rsid w:val="00CB0FBE"/>
    <w:rsid w:val="00CC0608"/>
    <w:rsid w:val="00CE36DF"/>
    <w:rsid w:val="00CF2051"/>
    <w:rsid w:val="00D069AD"/>
    <w:rsid w:val="00D069D2"/>
    <w:rsid w:val="00D123E6"/>
    <w:rsid w:val="00D1774E"/>
    <w:rsid w:val="00D449A2"/>
    <w:rsid w:val="00D51AE5"/>
    <w:rsid w:val="00D567CC"/>
    <w:rsid w:val="00D7620A"/>
    <w:rsid w:val="00D76262"/>
    <w:rsid w:val="00D840DA"/>
    <w:rsid w:val="00D862B6"/>
    <w:rsid w:val="00DB2EB5"/>
    <w:rsid w:val="00DB5598"/>
    <w:rsid w:val="00DC0A47"/>
    <w:rsid w:val="00DD36CB"/>
    <w:rsid w:val="00E10A24"/>
    <w:rsid w:val="00E10DE5"/>
    <w:rsid w:val="00E24138"/>
    <w:rsid w:val="00E725D8"/>
    <w:rsid w:val="00E81FE4"/>
    <w:rsid w:val="00E86551"/>
    <w:rsid w:val="00E962D8"/>
    <w:rsid w:val="00EA546A"/>
    <w:rsid w:val="00EA5687"/>
    <w:rsid w:val="00EB0BB6"/>
    <w:rsid w:val="00EB798E"/>
    <w:rsid w:val="00EF559C"/>
    <w:rsid w:val="00F028E3"/>
    <w:rsid w:val="00F077E3"/>
    <w:rsid w:val="00F07C04"/>
    <w:rsid w:val="00F14A90"/>
    <w:rsid w:val="00F359B8"/>
    <w:rsid w:val="00F4654F"/>
    <w:rsid w:val="00F5644E"/>
    <w:rsid w:val="00F64537"/>
    <w:rsid w:val="00F71776"/>
    <w:rsid w:val="00FA1E7A"/>
    <w:rsid w:val="00FC33E2"/>
    <w:rsid w:val="00FD1290"/>
    <w:rsid w:val="00FF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7B8F6"/>
  <w15:chartTrackingRefBased/>
  <w15:docId w15:val="{9AE0D9DA-F60C-417E-B0A1-32E54D26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EB0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0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0B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0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0B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0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0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0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0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0BB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0BB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0BB6"/>
    <w:rPr>
      <w:rFonts w:eastAsiaTheme="majorEastAsia" w:cstheme="majorBidi"/>
      <w:color w:val="2F5496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0BB6"/>
    <w:rPr>
      <w:rFonts w:eastAsiaTheme="majorEastAsia" w:cstheme="majorBidi"/>
      <w:i/>
      <w:iCs/>
      <w:color w:val="2F5496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0BB6"/>
    <w:rPr>
      <w:rFonts w:eastAsiaTheme="majorEastAsia" w:cstheme="majorBidi"/>
      <w:color w:val="2F5496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0BB6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0BB6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0BB6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0BB6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EB0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0BB6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EB0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0BB6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EB0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0BB6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EB0BB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0BB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0B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0BB6"/>
    <w:rPr>
      <w:i/>
      <w:iCs/>
      <w:color w:val="2F5496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EB0BB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50D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0DEF"/>
    <w:rPr>
      <w:lang w:val="es-ES_tradnl"/>
    </w:rPr>
  </w:style>
  <w:style w:type="paragraph" w:styleId="Piedepgina">
    <w:name w:val="footer"/>
    <w:basedOn w:val="Normal"/>
    <w:link w:val="PiedepginaCar"/>
    <w:unhideWhenUsed/>
    <w:rsid w:val="00650D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0DEF"/>
    <w:rPr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753F5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53F5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53F5D"/>
    <w:rPr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53F5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53F5D"/>
    <w:rPr>
      <w:b/>
      <w:bCs/>
      <w:sz w:val="20"/>
      <w:szCs w:val="20"/>
      <w:lang w:val="es-ES_tradnl"/>
    </w:rPr>
  </w:style>
  <w:style w:type="paragraph" w:styleId="Revisin">
    <w:name w:val="Revision"/>
    <w:hidden/>
    <w:uiPriority w:val="99"/>
    <w:semiHidden/>
    <w:rsid w:val="00753F5D"/>
    <w:pPr>
      <w:spacing w:after="0" w:line="240" w:lineRule="auto"/>
    </w:pPr>
    <w:rPr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958B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958B2"/>
    <w:rPr>
      <w:sz w:val="20"/>
      <w:szCs w:val="20"/>
      <w:lang w:val="ca-ES"/>
    </w:rPr>
  </w:style>
  <w:style w:type="character" w:styleId="Refdenotaalpie">
    <w:name w:val="footnote reference"/>
    <w:basedOn w:val="Fuentedeprrafopredeter"/>
    <w:uiPriority w:val="99"/>
    <w:semiHidden/>
    <w:unhideWhenUsed/>
    <w:rsid w:val="00A958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10" Type="http://schemas.openxmlformats.org/officeDocument/2006/relationships/chart" Target="charts/chart4.xm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5" Type="http://schemas.openxmlformats.org/officeDocument/2006/relationships/chartUserShapes" Target="../drawings/drawing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arme.TAB-BCN\Desktop\ESTAD&#205;STIQUES\ESTAD&#205;STIQUES-2024\ESTAD&#205;STIQUES-2024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4.xml"/><Relationship Id="rId1" Type="http://schemas.microsoft.com/office/2011/relationships/chartStyle" Target="style4.xml"/><Relationship Id="rId5" Type="http://schemas.openxmlformats.org/officeDocument/2006/relationships/chartUserShapes" Target="../drawings/drawing4.xml"/><Relationship Id="rId4" Type="http://schemas.openxmlformats.org/officeDocument/2006/relationships/package" Target="../embeddings/Microsoft_Excel_Worksheet2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arme.TAB-BCN\Desktop\ESTAD&#205;STIQUES\ESTAD&#205;STIQUES-2024\ESTAD&#205;STIQUES-2024.xlsx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chartUserShapes" Target="../drawings/drawing6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chartUserShapes" Target="../drawings/drawing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1639535451234343"/>
          <c:y val="4.7663882440226894E-2"/>
          <c:w val="0.55393524604605149"/>
          <c:h val="0.88806947558707483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8AE-4754-833D-93A84FFA3928}"/>
              </c:ext>
            </c:extLst>
          </c:dPt>
          <c:dPt>
            <c:idx val="1"/>
            <c:bubble3D val="0"/>
            <c:spPr>
              <a:solidFill>
                <a:srgbClr val="008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8AE-4754-833D-93A84FFA3928}"/>
              </c:ext>
            </c:extLst>
          </c:dPt>
          <c:dPt>
            <c:idx val="2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8AE-4754-833D-93A84FFA3928}"/>
              </c:ext>
            </c:extLst>
          </c:dPt>
          <c:dPt>
            <c:idx val="3"/>
            <c:bubble3D val="0"/>
            <c:explosion val="1"/>
            <c:spPr>
              <a:solidFill>
                <a:schemeClr val="accent6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8AE-4754-833D-93A84FFA3928}"/>
              </c:ext>
            </c:extLst>
          </c:dPt>
          <c:dPt>
            <c:idx val="4"/>
            <c:bubble3D val="0"/>
            <c:spPr>
              <a:solidFill>
                <a:schemeClr val="accent6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8AE-4754-833D-93A84FFA3928}"/>
              </c:ext>
            </c:extLst>
          </c:dPt>
          <c:dPt>
            <c:idx val="5"/>
            <c:bubble3D val="0"/>
            <c:spPr>
              <a:solidFill>
                <a:schemeClr val="accent6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C8AE-4754-833D-93A84FFA3928}"/>
              </c:ext>
            </c:extLst>
          </c:dPt>
          <c:dPt>
            <c:idx val="6"/>
            <c:bubble3D val="0"/>
            <c:spPr>
              <a:solidFill>
                <a:srgbClr val="33996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C8AE-4754-833D-93A84FFA3928}"/>
              </c:ext>
            </c:extLst>
          </c:dPt>
          <c:dPt>
            <c:idx val="7"/>
            <c:bubble3D val="0"/>
            <c:spPr>
              <a:solidFill>
                <a:srgbClr val="99CC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C8AE-4754-833D-93A84FFA3928}"/>
              </c:ext>
            </c:extLst>
          </c:dPt>
          <c:dPt>
            <c:idx val="8"/>
            <c:bubble3D val="0"/>
            <c:spPr>
              <a:solidFill>
                <a:srgbClr val="CCFF99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C8AE-4754-833D-93A84FFA3928}"/>
              </c:ext>
            </c:extLst>
          </c:dPt>
          <c:dLbls>
            <c:dLbl>
              <c:idx val="0"/>
              <c:layout>
                <c:manualLayout>
                  <c:x val="0.20956184693780744"/>
                  <c:y val="1.304410932358971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303820456177919"/>
                      <c:h val="0.2029753524186959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C8AE-4754-833D-93A84FFA3928}"/>
                </c:ext>
              </c:extLst>
            </c:dLbl>
            <c:dLbl>
              <c:idx val="1"/>
              <c:layout>
                <c:manualLayout>
                  <c:x val="0.15391745550396907"/>
                  <c:y val="-1.609657607660116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8AE-4754-833D-93A84FFA3928}"/>
                </c:ext>
              </c:extLst>
            </c:dLbl>
            <c:dLbl>
              <c:idx val="2"/>
              <c:layout>
                <c:manualLayout>
                  <c:x val="0.17246172725143522"/>
                  <c:y val="-9.8366828570564738E-1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8AE-4754-833D-93A84FFA3928}"/>
                </c:ext>
              </c:extLst>
            </c:dLbl>
            <c:dLbl>
              <c:idx val="3"/>
              <c:layout>
                <c:manualLayout>
                  <c:x val="0.20584141639687428"/>
                  <c:y val="7.243459234470500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8AE-4754-833D-93A84FFA3928}"/>
                </c:ext>
              </c:extLst>
            </c:dLbl>
            <c:dLbl>
              <c:idx val="4"/>
              <c:layout>
                <c:manualLayout>
                  <c:x val="-0.19259381733909767"/>
                  <c:y val="0.1292865519469640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8AE-4754-833D-93A84FFA3928}"/>
                </c:ext>
              </c:extLst>
            </c:dLbl>
            <c:dLbl>
              <c:idx val="5"/>
              <c:layout>
                <c:manualLayout>
                  <c:x val="-0.19575860246384866"/>
                  <c:y val="0.188649450733551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8AE-4754-833D-93A84FFA3928}"/>
                </c:ext>
              </c:extLst>
            </c:dLbl>
            <c:dLbl>
              <c:idx val="6"/>
              <c:layout>
                <c:manualLayout>
                  <c:x val="-0.21218168512068522"/>
                  <c:y val="0.1398847787837285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046281865369236"/>
                      <c:h val="0.226731240548573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C8AE-4754-833D-93A84FFA3928}"/>
                </c:ext>
              </c:extLst>
            </c:dLbl>
            <c:dLbl>
              <c:idx val="7"/>
              <c:layout>
                <c:manualLayout>
                  <c:x val="-0.2601303752693564"/>
                  <c:y val="-4.57784266328411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C8AE-4754-833D-93A84FFA3928}"/>
                </c:ext>
              </c:extLst>
            </c:dLbl>
            <c:dLbl>
              <c:idx val="8"/>
              <c:layout>
                <c:manualLayout>
                  <c:x val="-0.14093646528074277"/>
                  <c:y val="-8.853116842130613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C8AE-4754-833D-93A84FFA3928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8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j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'Matèries-objecte'!$H$2:$H$10</c:f>
              <c:strCache>
                <c:ptCount val="9"/>
                <c:pt idx="0">
                  <c:v>Arrendaments urbans i rústics</c:v>
                </c:pt>
                <c:pt idx="1">
                  <c:v>Contractació administrativa</c:v>
                </c:pt>
                <c:pt idx="2">
                  <c:v>Contracte d'obra (promotor-constructor)</c:v>
                </c:pt>
                <c:pt idx="3">
                  <c:v>Contractes de col·laboració</c:v>
                </c:pt>
                <c:pt idx="4">
                  <c:v>Contractes de prestació de serveis professionals i mercantils </c:v>
                </c:pt>
                <c:pt idx="5">
                  <c:v>Dret societari</c:v>
                </c:pt>
                <c:pt idx="6">
                  <c:v>Fusions i adquisicions (M&amp;A)</c:v>
                </c:pt>
                <c:pt idx="7">
                  <c:v>Promoció Immobiliària (promotor-consumidor)</c:v>
                </c:pt>
                <c:pt idx="8">
                  <c:v>Propietat horitzontal </c:v>
                </c:pt>
              </c:strCache>
            </c:strRef>
          </c:cat>
          <c:val>
            <c:numRef>
              <c:f>'Matèries-objecte'!$I$2:$I$10</c:f>
              <c:numCache>
                <c:formatCode>General</c:formatCode>
                <c:ptCount val="9"/>
                <c:pt idx="0">
                  <c:v>4</c:v>
                </c:pt>
                <c:pt idx="1">
                  <c:v>2</c:v>
                </c:pt>
                <c:pt idx="2">
                  <c:v>3</c:v>
                </c:pt>
                <c:pt idx="3">
                  <c:v>3</c:v>
                </c:pt>
                <c:pt idx="4">
                  <c:v>4</c:v>
                </c:pt>
                <c:pt idx="5">
                  <c:v>2</c:v>
                </c:pt>
                <c:pt idx="6">
                  <c:v>1</c:v>
                </c:pt>
                <c:pt idx="7">
                  <c:v>2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C8AE-4754-833D-93A84FFA39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ES"/>
    </a:p>
  </c:txPr>
  <c:externalData r:id="rId4">
    <c:autoUpdate val="0"/>
  </c:externalData>
  <c:userShapes r:id="rId5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2929163129701724"/>
          <c:y val="4.139274788103716E-2"/>
          <c:w val="0.60549073559113664"/>
          <c:h val="0.87851676307451865"/>
        </c:manualLayout>
      </c:layout>
      <c:doughnutChart>
        <c:varyColors val="1"/>
        <c:ser>
          <c:idx val="0"/>
          <c:order val="0"/>
          <c:spPr>
            <a:solidFill>
              <a:schemeClr val="accent6">
                <a:lumMod val="60000"/>
                <a:lumOff val="40000"/>
              </a:schemeClr>
            </a:solidFill>
          </c:spPr>
          <c:dPt>
            <c:idx val="0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693-4FE8-B123-B4F1A96E220E}"/>
              </c:ext>
            </c:extLst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693-4FE8-B123-B4F1A96E220E}"/>
              </c:ext>
            </c:extLst>
          </c:dPt>
          <c:dLbls>
            <c:dLbl>
              <c:idx val="0"/>
              <c:layout>
                <c:manualLayout>
                  <c:x val="0.24166666666666656"/>
                  <c:y val="-1.851851851851860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693-4FE8-B123-B4F1A96E220E}"/>
                </c:ext>
              </c:extLst>
            </c:dLbl>
            <c:dLbl>
              <c:idx val="1"/>
              <c:layout>
                <c:manualLayout>
                  <c:x val="-0.23386243386243386"/>
                  <c:y val="-1.056727628485316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693-4FE8-B123-B4F1A96E220E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8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'Tipus arbitratge'!$D$2:$D$3</c:f>
              <c:strCache>
                <c:ptCount val="2"/>
                <c:pt idx="0">
                  <c:v>Dret</c:v>
                </c:pt>
                <c:pt idx="1">
                  <c:v>Equitat</c:v>
                </c:pt>
              </c:strCache>
            </c:strRef>
          </c:cat>
          <c:val>
            <c:numRef>
              <c:f>'Tipus arbitratge'!$E$2:$E$3</c:f>
              <c:numCache>
                <c:formatCode>General</c:formatCode>
                <c:ptCount val="2"/>
                <c:pt idx="0">
                  <c:v>20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693-4FE8-B123-B4F1A96E22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 w="9525"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ES"/>
    </a:p>
  </c:txPr>
  <c:externalData r:id="rId4">
    <c:autoUpdate val="0"/>
  </c:externalData>
  <c:userShapes r:id="rId5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572238376841902"/>
          <c:y val="8.0233152674097571E-2"/>
          <c:w val="0.56908196382091247"/>
          <c:h val="0.89057632000545384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C2E-48FA-BBB8-D9BA6E831547}"/>
              </c:ext>
            </c:extLst>
          </c:dPt>
          <c:dPt>
            <c:idx val="1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C2E-48FA-BBB8-D9BA6E831547}"/>
              </c:ext>
            </c:extLst>
          </c:dPt>
          <c:dLbls>
            <c:dLbl>
              <c:idx val="0"/>
              <c:layout>
                <c:manualLayout>
                  <c:x val="0.16944444444444445"/>
                  <c:y val="0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C2E-48FA-BBB8-D9BA6E831547}"/>
                </c:ext>
              </c:extLst>
            </c:dLbl>
            <c:dLbl>
              <c:idx val="1"/>
              <c:layout>
                <c:manualLayout>
                  <c:x val="-0.23333333333333334"/>
                  <c:y val="-5.55555555555555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C2E-48FA-BBB8-D9BA6E831547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8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+mj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Gènere!$E$4:$E$5</c:f>
              <c:strCache>
                <c:ptCount val="2"/>
                <c:pt idx="0">
                  <c:v>homes</c:v>
                </c:pt>
                <c:pt idx="1">
                  <c:v>dones</c:v>
                </c:pt>
              </c:strCache>
            </c:strRef>
          </c:cat>
          <c:val>
            <c:numRef>
              <c:f>Gènere!$F$4:$F$5</c:f>
              <c:numCache>
                <c:formatCode>General</c:formatCode>
                <c:ptCount val="2"/>
                <c:pt idx="0">
                  <c:v>20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C2E-48FA-BBB8-D9BA6E831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 w="9525"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n>
            <a:noFill/>
          </a:ln>
          <a:solidFill>
            <a:schemeClr val="tx1"/>
          </a:solidFill>
        </a:defRPr>
      </a:pPr>
      <a:endParaRPr lang="es-ES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2717177640029038"/>
          <c:y val="0.11722607435264622"/>
          <c:w val="0.58111744010722066"/>
          <c:h val="0.81529909507580223"/>
        </c:manualLayout>
      </c:layout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</c:spPr>
          <c:dPt>
            <c:idx val="0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CBB-4888-A90A-3826229E6656}"/>
              </c:ext>
            </c:extLst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CBB-4888-A90A-3826229E6656}"/>
              </c:ext>
            </c:extLst>
          </c:dPt>
          <c:dPt>
            <c:idx val="2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CBB-4888-A90A-3826229E6656}"/>
              </c:ext>
            </c:extLst>
          </c:dPt>
          <c:dLbls>
            <c:dLbl>
              <c:idx val="0"/>
              <c:layout>
                <c:manualLayout>
                  <c:x val="0.20402164668440836"/>
                  <c:y val="-0.1299167209361987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208947893987264"/>
                      <c:h val="0.1884339457567804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ACBB-4888-A90A-3826229E6656}"/>
                </c:ext>
              </c:extLst>
            </c:dLbl>
            <c:dLbl>
              <c:idx val="1"/>
              <c:layout>
                <c:manualLayout>
                  <c:x val="-0.26130797059930916"/>
                  <c:y val="4.62964785651793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7025390017516004"/>
                      <c:h val="0.1676006124234470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ACBB-4888-A90A-3826229E6656}"/>
                </c:ext>
              </c:extLst>
            </c:dLbl>
            <c:dLbl>
              <c:idx val="2"/>
              <c:layout>
                <c:manualLayout>
                  <c:x val="-0.29867246428510108"/>
                  <c:y val="-5.6633977496234042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" lastClr="FFFFFF">
                      <a:lumMod val="85000"/>
                    </a:sys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ysClr val="windowText" lastClr="000000"/>
                      </a:solidFill>
                      <a:latin typeface="+mj-lt"/>
                      <a:ea typeface="+mn-ea"/>
                      <a:cs typeface="+mn-cs"/>
                    </a:defRPr>
                  </a:pPr>
                  <a:endParaRPr lang="es-E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19628055639386541"/>
                      <c:h val="0.2688110038876719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ACBB-4888-A90A-3826229E6656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" lastClr="FFFFFF">
                    <a:lumMod val="8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'Idioma arbitratge'!$C$2:$C$4</c:f>
              <c:strCache>
                <c:ptCount val="3"/>
                <c:pt idx="0">
                  <c:v>català</c:v>
                </c:pt>
                <c:pt idx="1">
                  <c:v>castellà</c:v>
                </c:pt>
                <c:pt idx="2">
                  <c:v>castellà i català indistintament</c:v>
                </c:pt>
              </c:strCache>
            </c:strRef>
          </c:cat>
          <c:val>
            <c:numRef>
              <c:f>'Idioma arbitratge'!$D$2:$D$4</c:f>
              <c:numCache>
                <c:formatCode>General</c:formatCode>
                <c:ptCount val="3"/>
                <c:pt idx="0">
                  <c:v>6</c:v>
                </c:pt>
                <c:pt idx="1">
                  <c:v>12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CBB-4888-A90A-3826229E66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 w="9525">
          <a:solidFill>
            <a:sysClr val="window" lastClr="FFFFFF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ES"/>
    </a:p>
  </c:txPr>
  <c:externalData r:id="rId4">
    <c:autoUpdate val="0"/>
  </c:externalData>
  <c:userShapes r:id="rId5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404340586458951"/>
          <c:y val="7.9531974391051585E-2"/>
          <c:w val="0.61961279033669181"/>
          <c:h val="0.80330840382870361"/>
        </c:manualLayout>
      </c:layout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</c:spPr>
          <c:dPt>
            <c:idx val="0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060-4261-9AD4-915ED938782D}"/>
              </c:ext>
            </c:extLst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060-4261-9AD4-915ED938782D}"/>
              </c:ext>
            </c:extLst>
          </c:dPt>
          <c:dLbls>
            <c:dLbl>
              <c:idx val="0"/>
              <c:layout>
                <c:manualLayout>
                  <c:x val="0.32254467764908223"/>
                  <c:y val="-3.888699300261423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060-4261-9AD4-915ED938782D}"/>
                </c:ext>
              </c:extLst>
            </c:dLbl>
            <c:dLbl>
              <c:idx val="1"/>
              <c:layout>
                <c:manualLayout>
                  <c:x val="-0.24166666666666667"/>
                  <c:y val="-4.629629629629629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060-4261-9AD4-915ED938782D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'Domèstic-internacional'!$C$4:$C$5</c:f>
              <c:strCache>
                <c:ptCount val="2"/>
                <c:pt idx="0">
                  <c:v>Domèstic</c:v>
                </c:pt>
                <c:pt idx="1">
                  <c:v>Internacional</c:v>
                </c:pt>
              </c:strCache>
            </c:strRef>
          </c:cat>
          <c:val>
            <c:numRef>
              <c:f>'Domèstic-internacional'!$D$4:$D$5</c:f>
              <c:numCache>
                <c:formatCode>General</c:formatCode>
                <c:ptCount val="2"/>
                <c:pt idx="0">
                  <c:v>21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060-4261-9AD4-915ED93878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 w="9525"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41981962231519"/>
          <c:y val="4.4788975021533159E-2"/>
          <c:w val="0.86878710926795399"/>
          <c:h val="0.844329691346721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j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showLeaderLines val="0"/>
              </c:ext>
            </c:extLst>
          </c:dLbls>
          <c:cat>
            <c:strRef>
              <c:f>Quantia!$C$25:$C$31</c:f>
              <c:strCache>
                <c:ptCount val="7"/>
                <c:pt idx="0">
                  <c:v>Quantia total</c:v>
                </c:pt>
                <c:pt idx="1">
                  <c:v>Quantia total sense variacions quantia</c:v>
                </c:pt>
                <c:pt idx="2">
                  <c:v>Variacions quantia</c:v>
                </c:pt>
                <c:pt idx="3">
                  <c:v>Quantia mínima</c:v>
                </c:pt>
                <c:pt idx="4">
                  <c:v>Quantia màxima</c:v>
                </c:pt>
                <c:pt idx="5">
                  <c:v>Quantia mitja sense variacions quantia</c:v>
                </c:pt>
                <c:pt idx="6">
                  <c:v>Quantia mitja amb variacions quantia</c:v>
                </c:pt>
              </c:strCache>
            </c:strRef>
          </c:cat>
          <c:val>
            <c:numRef>
              <c:f>Quantia!$D$25:$D$31</c:f>
              <c:numCache>
                <c:formatCode>#,##0.00\ "€";[Red]#,##0.00\ "€"</c:formatCode>
                <c:ptCount val="7"/>
                <c:pt idx="0">
                  <c:v>17904101.010000002</c:v>
                </c:pt>
                <c:pt idx="1">
                  <c:v>15313912.350000001</c:v>
                </c:pt>
                <c:pt idx="2">
                  <c:v>2590188.6599999997</c:v>
                </c:pt>
                <c:pt idx="3">
                  <c:v>6300</c:v>
                </c:pt>
                <c:pt idx="4">
                  <c:v>11490856.970000001</c:v>
                </c:pt>
                <c:pt idx="5">
                  <c:v>696086.92500000005</c:v>
                </c:pt>
                <c:pt idx="6">
                  <c:v>813822.77318181831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FC-4659-9EC2-70BAECE1AE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7522048"/>
        <c:axId val="227523584"/>
      </c:barChart>
      <c:catAx>
        <c:axId val="227522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n-ea"/>
                <a:cs typeface="+mn-cs"/>
              </a:defRPr>
            </a:pPr>
            <a:endParaRPr lang="es-ES"/>
          </a:p>
        </c:txPr>
        <c:crossAx val="227523584"/>
        <c:crosses val="autoZero"/>
        <c:auto val="1"/>
        <c:lblAlgn val="ctr"/>
        <c:lblOffset val="100"/>
        <c:noMultiLvlLbl val="0"/>
      </c:catAx>
      <c:valAx>
        <c:axId val="227523584"/>
        <c:scaling>
          <c:orientation val="minMax"/>
        </c:scaling>
        <c:delete val="0"/>
        <c:axPos val="l"/>
        <c:numFmt formatCode="#,##0.00\ &quot;€&quot;;[Red]#,##0.00\ &quot;€&quot;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j-lt"/>
                <a:ea typeface="+mn-ea"/>
                <a:cs typeface="+mn-cs"/>
              </a:defRPr>
            </a:pPr>
            <a:endParaRPr lang="es-ES"/>
          </a:p>
        </c:txPr>
        <c:crossAx val="2275220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+mj-lt"/>
        </a:defRPr>
      </a:pPr>
      <a:endParaRPr lang="es-E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938017638654651"/>
          <c:y val="0.12680885361770725"/>
          <c:w val="0.55582816813655445"/>
          <c:h val="0.80201190402380795"/>
        </c:manualLayout>
      </c:layout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</c:spPr>
          <c:dPt>
            <c:idx val="0"/>
            <c:bubble3D val="0"/>
            <c:explosion val="1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76E-4E97-B21D-727B3A91D1FE}"/>
              </c:ext>
            </c:extLst>
          </c:dPt>
          <c:dPt>
            <c:idx val="1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76E-4E97-B21D-727B3A91D1FE}"/>
              </c:ext>
            </c:extLst>
          </c:dPt>
          <c:dPt>
            <c:idx val="2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76E-4E97-B21D-727B3A91D1FE}"/>
              </c:ext>
            </c:extLst>
          </c:dPt>
          <c:dPt>
            <c:idx val="3"/>
            <c:bubble3D val="0"/>
            <c:spPr>
              <a:solidFill>
                <a:schemeClr val="accent6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76E-4E97-B21D-727B3A91D1FE}"/>
              </c:ext>
            </c:extLst>
          </c:dPt>
          <c:dLbls>
            <c:dLbl>
              <c:idx val="0"/>
              <c:layout>
                <c:manualLayout>
                  <c:x val="0.1350055844083318"/>
                  <c:y val="-0.27754110307317681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76E-4E97-B21D-727B3A91D1FE}"/>
                </c:ext>
              </c:extLst>
            </c:dLbl>
            <c:dLbl>
              <c:idx val="1"/>
              <c:layout>
                <c:manualLayout>
                  <c:x val="-0.16813185485170426"/>
                  <c:y val="7.4135098270196542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baseline="0">
                      <a:solidFill>
                        <a:sysClr val="windowText" lastClr="000000"/>
                      </a:solidFill>
                      <a:latin typeface="+mj-lt"/>
                      <a:ea typeface="+mn-ea"/>
                      <a:cs typeface="+mn-cs"/>
                    </a:defRPr>
                  </a:pPr>
                  <a:endParaRPr lang="es-E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14495057798626235"/>
                      <c:h val="7.207052842999590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176E-4E97-B21D-727B3A91D1FE}"/>
                </c:ext>
              </c:extLst>
            </c:dLbl>
            <c:dLbl>
              <c:idx val="2"/>
              <c:layout>
                <c:manualLayout>
                  <c:x val="-0.16543265203551683"/>
                  <c:y val="-0.10554416025310606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baseline="0">
                      <a:solidFill>
                        <a:sysClr val="windowText" lastClr="000000"/>
                      </a:solidFill>
                      <a:latin typeface="+mj-lt"/>
                      <a:ea typeface="+mn-ea"/>
                      <a:cs typeface="+mn-cs"/>
                    </a:defRPr>
                  </a:pPr>
                  <a:endParaRPr lang="es-E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14127034120734908"/>
                      <c:h val="8.44749019190445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176E-4E97-B21D-727B3A91D1FE}"/>
                </c:ext>
              </c:extLst>
            </c:dLbl>
            <c:dLbl>
              <c:idx val="3"/>
              <c:layout>
                <c:manualLayout>
                  <c:x val="-6.7375886524822723E-2"/>
                  <c:y val="-0.12132347452053821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76E-4E97-B21D-727B3A91D1FE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'Trams quantia'!$O$20:$O$23</c:f>
              <c:strCache>
                <c:ptCount val="4"/>
                <c:pt idx="0">
                  <c:v>Fins a 20.000€</c:v>
                </c:pt>
                <c:pt idx="1">
                  <c:v>de 20.001€ a 600.000€</c:v>
                </c:pt>
                <c:pt idx="2">
                  <c:v>de 600.001€ a 1.500.000€</c:v>
                </c:pt>
                <c:pt idx="3">
                  <c:v>superior a 1.500.000,-€</c:v>
                </c:pt>
              </c:strCache>
            </c:strRef>
          </c:cat>
          <c:val>
            <c:numRef>
              <c:f>'Trams quantia'!$Q$20:$Q$23</c:f>
              <c:numCache>
                <c:formatCode>0%</c:formatCode>
                <c:ptCount val="4"/>
                <c:pt idx="0">
                  <c:v>0.36363636363636365</c:v>
                </c:pt>
                <c:pt idx="1">
                  <c:v>0.5</c:v>
                </c:pt>
                <c:pt idx="2">
                  <c:v>9.0909090909090912E-2</c:v>
                </c:pt>
                <c:pt idx="3">
                  <c:v>4.5454545454545456E-2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76E-4E97-B21D-727B3A91D1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 w="9525">
          <a:noFill/>
        </a:ln>
        <a:effectLst/>
      </c:spPr>
    </c:plotArea>
    <c:legend>
      <c:legendPos val="r"/>
      <c:layout>
        <c:manualLayout>
          <c:xMode val="edge"/>
          <c:yMode val="edge"/>
          <c:x val="0.78723404255319152"/>
          <c:y val="0.18063616173852395"/>
          <c:w val="0.20921985815602837"/>
          <c:h val="0.7980794009140466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5219001115620299"/>
          <c:y val="3.8181971025863758E-2"/>
          <c:w val="0.70177521477937532"/>
          <c:h val="0.95596203321119511"/>
        </c:manualLayout>
      </c:layout>
      <c:barChart>
        <c:barDir val="bar"/>
        <c:grouping val="clustered"/>
        <c:varyColors val="0"/>
        <c:ser>
          <c:idx val="1"/>
          <c:order val="1"/>
          <c:tx>
            <c:strRef>
              <c:f>Durada!$J$26</c:f>
              <c:strCache>
                <c:ptCount val="1"/>
                <c:pt idx="0">
                  <c:v>mesos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Durada!$G$27:$H$31</c:f>
              <c:multiLvlStrCache>
                <c:ptCount val="4"/>
                <c:lvl>
                  <c:pt idx="1">
                    <c:v>mitja acotada</c:v>
                  </c:pt>
                  <c:pt idx="3">
                    <c:v>mitja acotada</c:v>
                  </c:pt>
                </c:lvl>
                <c:lvl>
                  <c:pt idx="1">
                    <c:v>Prearbitral</c:v>
                  </c:pt>
                  <c:pt idx="3">
                    <c:v>Arbitral </c:v>
                  </c:pt>
                </c:lvl>
              </c:multiLvlStrCache>
            </c:multiLvlStrRef>
          </c:cat>
          <c:val>
            <c:numRef>
              <c:f>Durada!$J$27:$J$31</c:f>
              <c:numCache>
                <c:formatCode>#,##0.0</c:formatCode>
                <c:ptCount val="5"/>
                <c:pt idx="1">
                  <c:v>4.1187499999999995</c:v>
                </c:pt>
                <c:pt idx="3">
                  <c:v>6.6291666666666655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62D-4C3A-ACC8-EC995AD00B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472384848"/>
        <c:axId val="472382448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Durada!$I$26</c15:sqref>
                        </c15:formulaRef>
                      </c:ext>
                    </c:extLst>
                    <c:strCache>
                      <c:ptCount val="1"/>
                      <c:pt idx="0">
                        <c:v>dies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cat>
                  <c:multiLvlStrRef>
                    <c:extLst>
                      <c:ext uri="{02D57815-91ED-43cb-92C2-25804820EDAC}">
                        <c15:formulaRef>
                          <c15:sqref>Durada!$G$27:$H$31</c15:sqref>
                        </c15:formulaRef>
                      </c:ext>
                    </c:extLst>
                    <c:multiLvlStrCache>
                      <c:ptCount val="4"/>
                      <c:lvl>
                        <c:pt idx="1">
                          <c:v>mitja acotada</c:v>
                        </c:pt>
                        <c:pt idx="3">
                          <c:v>mitja acotada</c:v>
                        </c:pt>
                      </c:lvl>
                      <c:lvl>
                        <c:pt idx="1">
                          <c:v>Prearbitral</c:v>
                        </c:pt>
                        <c:pt idx="3">
                          <c:v>Arbitral </c:v>
                        </c:pt>
                      </c:lvl>
                    </c:multiLvlStrCache>
                  </c:multiLvlStrRef>
                </c:cat>
                <c:val>
                  <c:numRef>
                    <c:extLst>
                      <c:ext uri="{02D57815-91ED-43cb-92C2-25804820EDAC}">
                        <c15:formulaRef>
                          <c15:sqref>Durada!$I$27:$I$31</c15:sqref>
                        </c15:formulaRef>
                      </c:ext>
                    </c:extLst>
                    <c:numCache>
                      <c:formatCode>#,##0.0</c:formatCode>
                      <c:ptCount val="5"/>
                      <c:pt idx="1">
                        <c:v>123.5625</c:v>
                      </c:pt>
                      <c:pt idx="3">
                        <c:v>198.875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562D-4C3A-ACC8-EC995AD00B68}"/>
                  </c:ext>
                </c:extLst>
              </c15:ser>
            </c15:filteredBarSeries>
          </c:ext>
        </c:extLst>
      </c:barChart>
      <c:catAx>
        <c:axId val="4723848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ysClr val="windowText" lastClr="000000"/>
                </a:solidFill>
                <a:latin typeface="+mj-lt"/>
                <a:ea typeface="+mn-ea"/>
                <a:cs typeface="+mn-cs"/>
              </a:defRPr>
            </a:pPr>
            <a:endParaRPr lang="es-ES"/>
          </a:p>
        </c:txPr>
        <c:crossAx val="472382448"/>
        <c:crosses val="autoZero"/>
        <c:auto val="1"/>
        <c:lblAlgn val="ctr"/>
        <c:lblOffset val="100"/>
        <c:noMultiLvlLbl val="0"/>
      </c:catAx>
      <c:valAx>
        <c:axId val="472382448"/>
        <c:scaling>
          <c:orientation val="minMax"/>
        </c:scaling>
        <c:delete val="1"/>
        <c:axPos val="b"/>
        <c:numFmt formatCode="#,##0.0" sourceLinked="1"/>
        <c:majorTickMark val="none"/>
        <c:minorTickMark val="none"/>
        <c:tickLblPos val="nextTo"/>
        <c:crossAx val="47238484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baseline="0">
              <a:solidFill>
                <a:sysClr val="windowText" lastClr="000000"/>
              </a:solidFill>
              <a:latin typeface="+mj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+mj-lt"/>
        </a:defRPr>
      </a:pPr>
      <a:endParaRPr lang="es-E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9594809723194765"/>
          <c:y val="3.8461714024877323E-2"/>
          <c:w val="0.66049473398402336"/>
          <c:h val="0.7498599882372563"/>
        </c:manualLayout>
      </c:layout>
      <c:barChart>
        <c:barDir val="bar"/>
        <c:grouping val="clustered"/>
        <c:varyColors val="0"/>
        <c:ser>
          <c:idx val="1"/>
          <c:order val="1"/>
          <c:tx>
            <c:strRef>
              <c:f>Durada!$J$63</c:f>
              <c:strCache>
                <c:ptCount val="1"/>
                <c:pt idx="0">
                  <c:v>mesos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Durada!$G$64:$H$70</c:f>
              <c:multiLvlStrCache>
                <c:ptCount val="6"/>
                <c:lvl>
                  <c:pt idx="1">
                    <c:v>mitja acotada</c:v>
                  </c:pt>
                  <c:pt idx="3">
                    <c:v>mitja acotada</c:v>
                  </c:pt>
                  <c:pt idx="5">
                    <c:v>mitja acotada</c:v>
                  </c:pt>
                </c:lvl>
                <c:lvl>
                  <c:pt idx="1">
                    <c:v>Prearbitral</c:v>
                  </c:pt>
                  <c:pt idx="3">
                    <c:v>Arbitral </c:v>
                  </c:pt>
                  <c:pt idx="5">
                    <c:v>Total</c:v>
                  </c:pt>
                </c:lvl>
              </c:multiLvlStrCache>
            </c:multiLvlStrRef>
          </c:cat>
          <c:val>
            <c:numRef>
              <c:f>Durada!$J$64:$J$70</c:f>
              <c:numCache>
                <c:formatCode>0.0</c:formatCode>
                <c:ptCount val="7"/>
                <c:pt idx="1">
                  <c:v>4.4000000000000004</c:v>
                </c:pt>
                <c:pt idx="3">
                  <c:v>8.5208333333333339</c:v>
                </c:pt>
                <c:pt idx="5">
                  <c:v>12.987500000000006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F7-4E75-AC4C-600F252FC24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077305328"/>
        <c:axId val="2077305808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Durada!$I$63</c15:sqref>
                        </c15:formulaRef>
                      </c:ext>
                    </c:extLst>
                    <c:strCache>
                      <c:ptCount val="1"/>
                      <c:pt idx="0">
                        <c:v>dies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E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multiLvlStrRef>
                    <c:extLst>
                      <c:ext uri="{02D57815-91ED-43cb-92C2-25804820EDAC}">
                        <c15:formulaRef>
                          <c15:sqref>Durada!$G$64:$H$70</c15:sqref>
                        </c15:formulaRef>
                      </c:ext>
                    </c:extLst>
                    <c:multiLvlStrCache>
                      <c:ptCount val="6"/>
                      <c:lvl>
                        <c:pt idx="1">
                          <c:v>mitja acotada</c:v>
                        </c:pt>
                        <c:pt idx="3">
                          <c:v>mitja acotada</c:v>
                        </c:pt>
                        <c:pt idx="5">
                          <c:v>mitja acotada</c:v>
                        </c:pt>
                      </c:lvl>
                      <c:lvl>
                        <c:pt idx="1">
                          <c:v>Prearbitral</c:v>
                        </c:pt>
                        <c:pt idx="3">
                          <c:v>Arbitral </c:v>
                        </c:pt>
                        <c:pt idx="5">
                          <c:v>Total</c:v>
                        </c:pt>
                      </c:lvl>
                    </c:multiLvlStrCache>
                  </c:multiLvlStrRef>
                </c:cat>
                <c:val>
                  <c:numRef>
                    <c:extLst>
                      <c:ext uri="{02D57815-91ED-43cb-92C2-25804820EDAC}">
                        <c15:formulaRef>
                          <c15:sqref>Durada!$I$64:$I$70</c15:sqref>
                        </c15:formulaRef>
                      </c:ext>
                    </c:extLst>
                    <c:numCache>
                      <c:formatCode>0.0</c:formatCode>
                      <c:ptCount val="7"/>
                      <c:pt idx="1">
                        <c:v>132</c:v>
                      </c:pt>
                      <c:pt idx="3">
                        <c:v>255.625</c:v>
                      </c:pt>
                      <c:pt idx="5">
                        <c:v>389.625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B8F7-4E75-AC4C-600F252FC240}"/>
                  </c:ext>
                </c:extLst>
              </c15:ser>
            </c15:filteredBarSeries>
          </c:ext>
        </c:extLst>
      </c:barChart>
      <c:catAx>
        <c:axId val="20773053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ysClr val="windowText" lastClr="000000"/>
                </a:solidFill>
                <a:latin typeface="+mj-lt"/>
                <a:ea typeface="+mn-ea"/>
                <a:cs typeface="+mn-cs"/>
              </a:defRPr>
            </a:pPr>
            <a:endParaRPr lang="es-ES"/>
          </a:p>
        </c:txPr>
        <c:crossAx val="2077305808"/>
        <c:crosses val="autoZero"/>
        <c:auto val="1"/>
        <c:lblAlgn val="ctr"/>
        <c:lblOffset val="100"/>
        <c:noMultiLvlLbl val="0"/>
      </c:catAx>
      <c:valAx>
        <c:axId val="2077305808"/>
        <c:scaling>
          <c:orientation val="minMax"/>
        </c:scaling>
        <c:delete val="1"/>
        <c:axPos val="b"/>
        <c:numFmt formatCode="0.0" sourceLinked="1"/>
        <c:majorTickMark val="none"/>
        <c:minorTickMark val="none"/>
        <c:tickLblPos val="nextTo"/>
        <c:crossAx val="2077305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baseline="0">
              <a:solidFill>
                <a:sysClr val="windowText" lastClr="000000"/>
              </a:solidFill>
              <a:latin typeface="+mj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447532548530443"/>
          <c:y val="5.6330982756902223E-2"/>
          <c:w val="0.78707327209098865"/>
          <c:h val="0.7137153549586206"/>
        </c:manualLayout>
      </c:layout>
      <c:barChart>
        <c:barDir val="bar"/>
        <c:grouping val="clustered"/>
        <c:varyColors val="0"/>
        <c:ser>
          <c:idx val="1"/>
          <c:order val="1"/>
          <c:tx>
            <c:strRef>
              <c:f>Durada!$J$96</c:f>
              <c:strCache>
                <c:ptCount val="1"/>
                <c:pt idx="0">
                  <c:v>mesos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  <c15:showLeaderLines val="0"/>
              </c:ext>
            </c:extLst>
          </c:dLbls>
          <c:cat>
            <c:multiLvlStrRef>
              <c:f>Durada!$G$97:$H$102</c:f>
              <c:multiLvlStrCache>
                <c:ptCount val="6"/>
                <c:lvl>
                  <c:pt idx="1">
                    <c:v>mitja acotada</c:v>
                  </c:pt>
                  <c:pt idx="3">
                    <c:v>mitja acotada</c:v>
                  </c:pt>
                  <c:pt idx="5">
                    <c:v>mitja acotada</c:v>
                  </c:pt>
                </c:lvl>
                <c:lvl>
                  <c:pt idx="1">
                    <c:v>Prearbitral</c:v>
                  </c:pt>
                  <c:pt idx="3">
                    <c:v>Arbitral </c:v>
                  </c:pt>
                  <c:pt idx="5">
                    <c:v>Total</c:v>
                  </c:pt>
                </c:lvl>
              </c:multiLvlStrCache>
            </c:multiLvlStrRef>
          </c:cat>
          <c:val>
            <c:numRef>
              <c:f>Durada!$J$97:$J$102</c:f>
              <c:numCache>
                <c:formatCode>#,##0.0</c:formatCode>
                <c:ptCount val="6"/>
                <c:pt idx="1">
                  <c:v>3.7833333333333323</c:v>
                </c:pt>
                <c:pt idx="3">
                  <c:v>4.3916666666666657</c:v>
                </c:pt>
                <c:pt idx="5">
                  <c:v>8.3166666666666682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101-4664-878B-9DB923F0FC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45308192"/>
        <c:axId val="645309992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Durada!$I$96</c15:sqref>
                        </c15:formulaRef>
                      </c:ext>
                    </c:extLst>
                    <c:strCache>
                      <c:ptCount val="1"/>
                      <c:pt idx="0">
                        <c:v>dies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solidFill>
                      <a:sysClr val="window" lastClr="FFFFFF"/>
                    </a:solidFill>
                    <a:ln>
                      <a:solidFill>
                        <a:sysClr val="windowText" lastClr="000000">
                          <a:lumMod val="25000"/>
                          <a:lumOff val="75000"/>
                        </a:sysClr>
                      </a:solidFill>
                    </a:ln>
                    <a:effectLst/>
                  </c:spPr>
                  <c:txPr>
                    <a:bodyPr rot="0" spcFirstLastPara="1" vertOverflow="clip" horzOverflow="clip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dk1">
                              <a:lumMod val="65000"/>
                              <a:lumOff val="3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ES"/>
                    </a:p>
                  </c:txPr>
                  <c:dLblPos val="outEnd"/>
                  <c:showLegendKey val="0"/>
                  <c:showVal val="1"/>
                  <c:showCatName val="1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pPr xmlns:c15="http://schemas.microsoft.com/office/drawing/2012/chart">
                        <a:prstGeom prst="wedgeRectCallout">
                          <a:avLst/>
                        </a:prstGeom>
                        <a:noFill/>
                        <a:ln>
                          <a:noFill/>
                        </a:ln>
                      </c15:spPr>
                      <c15:showLeaderLines val="0"/>
                    </c:ext>
                  </c:extLst>
                </c:dLbls>
                <c:cat>
                  <c:multiLvlStrRef>
                    <c:extLst>
                      <c:ext uri="{02D57815-91ED-43cb-92C2-25804820EDAC}">
                        <c15:formulaRef>
                          <c15:sqref>Durada!$G$97:$H$102</c15:sqref>
                        </c15:formulaRef>
                      </c:ext>
                    </c:extLst>
                    <c:multiLvlStrCache>
                      <c:ptCount val="6"/>
                      <c:lvl>
                        <c:pt idx="1">
                          <c:v>mitja acotada</c:v>
                        </c:pt>
                        <c:pt idx="3">
                          <c:v>mitja acotada</c:v>
                        </c:pt>
                        <c:pt idx="5">
                          <c:v>mitja acotada</c:v>
                        </c:pt>
                      </c:lvl>
                      <c:lvl>
                        <c:pt idx="1">
                          <c:v>Prearbitral</c:v>
                        </c:pt>
                        <c:pt idx="3">
                          <c:v>Arbitral </c:v>
                        </c:pt>
                        <c:pt idx="5">
                          <c:v>Total</c:v>
                        </c:pt>
                      </c:lvl>
                    </c:multiLvlStrCache>
                  </c:multiLvlStrRef>
                </c:cat>
                <c:val>
                  <c:numRef>
                    <c:extLst>
                      <c:ext uri="{02D57815-91ED-43cb-92C2-25804820EDAC}">
                        <c15:formulaRef>
                          <c15:sqref>Durada!$I$97:$I$102</c15:sqref>
                        </c15:formulaRef>
                      </c:ext>
                    </c:extLst>
                    <c:numCache>
                      <c:formatCode>#,##0.0</c:formatCode>
                      <c:ptCount val="6"/>
                      <c:pt idx="1">
                        <c:v>113.5</c:v>
                      </c:pt>
                      <c:pt idx="3">
                        <c:v>131.75</c:v>
                      </c:pt>
                      <c:pt idx="5">
                        <c:v>249.5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2101-4664-878B-9DB923F0FCA5}"/>
                  </c:ext>
                </c:extLst>
              </c15:ser>
            </c15:filteredBarSeries>
          </c:ext>
        </c:extLst>
      </c:barChart>
      <c:catAx>
        <c:axId val="6453081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1" i="0" u="none" strike="noStrike" kern="1200" baseline="0">
                <a:ln>
                  <a:noFill/>
                </a:ln>
                <a:solidFill>
                  <a:sysClr val="windowText" lastClr="000000">
                    <a:alpha val="99000"/>
                  </a:sysClr>
                </a:solidFill>
                <a:latin typeface="+mj-lt"/>
                <a:ea typeface="+mn-ea"/>
                <a:cs typeface="+mn-cs"/>
              </a:defRPr>
            </a:pPr>
            <a:endParaRPr lang="es-ES"/>
          </a:p>
        </c:txPr>
        <c:crossAx val="645309992"/>
        <c:crosses val="autoZero"/>
        <c:auto val="1"/>
        <c:lblAlgn val="ctr"/>
        <c:lblOffset val="100"/>
        <c:noMultiLvlLbl val="0"/>
      </c:catAx>
      <c:valAx>
        <c:axId val="645309992"/>
        <c:scaling>
          <c:orientation val="minMax"/>
        </c:scaling>
        <c:delete val="1"/>
        <c:axPos val="b"/>
        <c:numFmt formatCode="#,##0.0" sourceLinked="1"/>
        <c:majorTickMark val="none"/>
        <c:minorTickMark val="none"/>
        <c:tickLblPos val="nextTo"/>
        <c:crossAx val="645308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4200263952154486"/>
          <c:y val="0.3936901973487491"/>
          <c:w val="0.11108738264152625"/>
          <c:h val="0.1143943735672281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baseline="0">
              <a:solidFill>
                <a:sysClr val="windowText" lastClr="000000"/>
              </a:solidFill>
              <a:latin typeface="+mj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5639348335895884"/>
          <c:y val="8.1404003604027102E-3"/>
          <c:w val="0.59394089052477905"/>
          <c:h val="0.99185959963959724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011-4935-A9BD-E0C5974D078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011-4935-A9BD-E0C5974D0783}"/>
              </c:ext>
            </c:extLst>
          </c:dPt>
          <c:dPt>
            <c:idx val="2"/>
            <c:bubble3D val="0"/>
            <c:spPr>
              <a:solidFill>
                <a:schemeClr val="accent6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011-4935-A9BD-E0C5974D078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011-4935-A9BD-E0C5974D0783}"/>
              </c:ext>
            </c:extLst>
          </c:dPt>
          <c:dPt>
            <c:idx val="4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011-4935-A9BD-E0C5974D0783}"/>
              </c:ext>
            </c:extLst>
          </c:dPt>
          <c:dLbls>
            <c:dLbl>
              <c:idx val="0"/>
              <c:layout>
                <c:manualLayout>
                  <c:x val="0.15728618242246348"/>
                  <c:y val="-5.7612201459892145E-4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ysClr val="windowText" lastClr="000000"/>
                      </a:solidFill>
                      <a:latin typeface="+mj-lt"/>
                      <a:ea typeface="+mn-ea"/>
                      <a:cs typeface="+mn-cs"/>
                    </a:defRPr>
                  </a:pPr>
                  <a:endParaRPr lang="es-E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21000393700787401"/>
                      <c:h val="0.2599276665219997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8011-4935-A9BD-E0C5974D0783}"/>
                </c:ext>
              </c:extLst>
            </c:dLbl>
            <c:dLbl>
              <c:idx val="2"/>
              <c:layout>
                <c:manualLayout>
                  <c:x val="-0.19332125692080698"/>
                  <c:y val="0.2612112624739387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011-4935-A9BD-E0C5974D0783}"/>
                </c:ext>
              </c:extLst>
            </c:dLbl>
            <c:dLbl>
              <c:idx val="4"/>
              <c:layout>
                <c:manualLayout>
                  <c:x val="-0.28051212348456445"/>
                  <c:y val="1.042387418108169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011-4935-A9BD-E0C5974D0783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'Compliment laude'!$D$28:$D$32</c:f>
              <c:strCache>
                <c:ptCount val="5"/>
                <c:pt idx="0">
                  <c:v>Laude complert voluntariament</c:v>
                </c:pt>
                <c:pt idx="2">
                  <c:v>Laude impugnat davant TSJ Catalunya</c:v>
                </c:pt>
                <c:pt idx="4">
                  <c:v>Laude executat judicialment</c:v>
                </c:pt>
              </c:strCache>
            </c:strRef>
          </c:cat>
          <c:val>
            <c:numRef>
              <c:f>'Compliment laude'!$E$28:$E$32</c:f>
              <c:numCache>
                <c:formatCode>General</c:formatCode>
                <c:ptCount val="5"/>
                <c:pt idx="0">
                  <c:v>9</c:v>
                </c:pt>
                <c:pt idx="2">
                  <c:v>1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011-4935-A9BD-E0C5974D07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38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lt1"/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0.36702</cdr:x>
      <cdr:y>0.41938</cdr:y>
    </cdr:from>
    <cdr:to>
      <cdr:x>0.5966</cdr:x>
      <cdr:y>0.5532</cdr:y>
    </cdr:to>
    <cdr:sp macro="" textlink="">
      <cdr:nvSpPr>
        <cdr:cNvPr id="2" name="CuadroTexto 1">
          <a:extLst xmlns:a="http://schemas.openxmlformats.org/drawingml/2006/main">
            <a:ext uri="{FF2B5EF4-FFF2-40B4-BE49-F238E27FC236}">
              <a16:creationId xmlns:a16="http://schemas.microsoft.com/office/drawing/2014/main" id="{A4F6B887-B6AA-491B-BF13-D16641741A59}"/>
            </a:ext>
          </a:extLst>
        </cdr:cNvPr>
        <cdr:cNvSpPr txBox="1"/>
      </cdr:nvSpPr>
      <cdr:spPr>
        <a:xfrm xmlns:a="http://schemas.openxmlformats.org/drawingml/2006/main">
          <a:off x="1354083" y="876139"/>
          <a:ext cx="847001" cy="27957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es-ES" sz="1200" b="1" kern="1200">
              <a:latin typeface="+mj-lt"/>
            </a:rPr>
            <a:t>MÀTERIES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0.39021</cdr:x>
      <cdr:y>0.41204</cdr:y>
    </cdr:from>
    <cdr:to>
      <cdr:x>0.58069</cdr:x>
      <cdr:y>0.74537</cdr:y>
    </cdr:to>
    <cdr:sp macro="" textlink="">
      <cdr:nvSpPr>
        <cdr:cNvPr id="3" name="CuadroTexto 2">
          <a:extLst xmlns:a="http://schemas.openxmlformats.org/drawingml/2006/main">
            <a:ext uri="{FF2B5EF4-FFF2-40B4-BE49-F238E27FC236}">
              <a16:creationId xmlns:a16="http://schemas.microsoft.com/office/drawing/2014/main" id="{4584DA73-E413-E6BF-F89C-CFB2524B26A4}"/>
            </a:ext>
          </a:extLst>
        </cdr:cNvPr>
        <cdr:cNvSpPr txBox="1"/>
      </cdr:nvSpPr>
      <cdr:spPr>
        <a:xfrm xmlns:a="http://schemas.openxmlformats.org/drawingml/2006/main">
          <a:off x="1873250" y="11303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s-ES" sz="1100" kern="1200"/>
        </a:p>
      </cdr:txBody>
    </cdr:sp>
  </cdr:relSizeAnchor>
  <cdr:relSizeAnchor xmlns:cdr="http://schemas.openxmlformats.org/drawingml/2006/chartDrawing">
    <cdr:from>
      <cdr:x>0.32083</cdr:x>
      <cdr:y>0.40281</cdr:y>
    </cdr:from>
    <cdr:to>
      <cdr:x>0.63333</cdr:x>
      <cdr:y>0.56112</cdr:y>
    </cdr:to>
    <cdr:sp macro="" textlink="">
      <cdr:nvSpPr>
        <cdr:cNvPr id="2" name="Cuadro de texto 1"/>
        <cdr:cNvSpPr txBox="1"/>
      </cdr:nvSpPr>
      <cdr:spPr>
        <a:xfrm xmlns:a="http://schemas.openxmlformats.org/drawingml/2006/main">
          <a:off x="1466850" y="1276350"/>
          <a:ext cx="1428750" cy="5016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s-ES" sz="1100" b="1" kern="1200">
              <a:latin typeface="+mj-lt"/>
            </a:rPr>
            <a:t>      </a:t>
          </a:r>
        </a:p>
        <a:p xmlns:a="http://schemas.openxmlformats.org/drawingml/2006/main">
          <a:r>
            <a:rPr lang="es-ES" sz="1100" b="1" kern="1200">
              <a:latin typeface="+mj-lt"/>
            </a:rPr>
            <a:t>   </a:t>
          </a:r>
          <a:r>
            <a:rPr lang="es-ES" sz="1400" b="1" kern="1200">
              <a:latin typeface="+mj-lt"/>
            </a:rPr>
            <a:t>TIPUS  ARBITRATGE</a:t>
          </a:r>
        </a:p>
      </cdr:txBody>
    </cdr:sp>
  </cdr:relSizeAnchor>
  <cdr:relSizeAnchor xmlns:cdr="http://schemas.openxmlformats.org/drawingml/2006/chartDrawing">
    <cdr:from>
      <cdr:x>0.44923</cdr:x>
      <cdr:y>0.44268</cdr:y>
    </cdr:from>
    <cdr:to>
      <cdr:x>0.69707</cdr:x>
      <cdr:y>0.90127</cdr:y>
    </cdr:to>
    <cdr:sp macro="" textlink="">
      <cdr:nvSpPr>
        <cdr:cNvPr id="4" name="Cuadro de texto 3"/>
        <cdr:cNvSpPr txBox="1"/>
      </cdr:nvSpPr>
      <cdr:spPr>
        <a:xfrm xmlns:a="http://schemas.openxmlformats.org/drawingml/2006/main">
          <a:off x="1657350" y="88265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s-ES" sz="1100" kern="1200"/>
        </a:p>
      </cdr:txBody>
    </cdr:sp>
  </cdr:relSizeAnchor>
  <cdr:relSizeAnchor xmlns:cdr="http://schemas.openxmlformats.org/drawingml/2006/chartDrawing">
    <cdr:from>
      <cdr:x>0.40149</cdr:x>
      <cdr:y>0.33758</cdr:y>
    </cdr:from>
    <cdr:to>
      <cdr:x>0.68847</cdr:x>
      <cdr:y>0.63057</cdr:y>
    </cdr:to>
    <cdr:sp macro="" textlink="">
      <cdr:nvSpPr>
        <cdr:cNvPr id="5" name="Cuadro de texto 4"/>
        <cdr:cNvSpPr txBox="1"/>
      </cdr:nvSpPr>
      <cdr:spPr>
        <a:xfrm xmlns:a="http://schemas.openxmlformats.org/drawingml/2006/main">
          <a:off x="1371601" y="724547"/>
          <a:ext cx="980414" cy="6288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s-ES" sz="1100" b="1" kern="1200">
              <a:latin typeface="+mj-lt"/>
            </a:rPr>
            <a:t>      TIPUS </a:t>
          </a:r>
        </a:p>
        <a:p xmlns:a="http://schemas.openxmlformats.org/drawingml/2006/main">
          <a:r>
            <a:rPr lang="es-ES" sz="1100" b="1" kern="1200">
              <a:latin typeface="+mj-lt"/>
            </a:rPr>
            <a:t>ARBITRATGE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0.34232</cdr:x>
      <cdr:y>0.44271</cdr:y>
    </cdr:from>
    <cdr:to>
      <cdr:x>0.63123</cdr:x>
      <cdr:y>0.66138</cdr:y>
    </cdr:to>
    <cdr:sp macro="" textlink="">
      <cdr:nvSpPr>
        <cdr:cNvPr id="2" name="CuadroTexto 1">
          <a:extLst xmlns:a="http://schemas.openxmlformats.org/drawingml/2006/main">
            <a:ext uri="{FF2B5EF4-FFF2-40B4-BE49-F238E27FC236}">
              <a16:creationId xmlns:a16="http://schemas.microsoft.com/office/drawing/2014/main" id="{A93845B2-9325-F444-B7C1-6274B383D928}"/>
            </a:ext>
          </a:extLst>
        </cdr:cNvPr>
        <cdr:cNvSpPr txBox="1"/>
      </cdr:nvSpPr>
      <cdr:spPr>
        <a:xfrm xmlns:a="http://schemas.openxmlformats.org/drawingml/2006/main">
          <a:off x="1257300" y="1039023"/>
          <a:ext cx="1061107" cy="51320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es-ES" sz="1100" b="1" kern="1200">
              <a:solidFill>
                <a:sysClr val="windowText" lastClr="000000"/>
              </a:solidFill>
              <a:latin typeface="+mj-lt"/>
            </a:rPr>
            <a:t>PARITAT</a:t>
          </a:r>
        </a:p>
        <a:p xmlns:a="http://schemas.openxmlformats.org/drawingml/2006/main">
          <a:pPr algn="ctr"/>
          <a:r>
            <a:rPr lang="es-ES" sz="1100" b="1" kern="1200">
              <a:solidFill>
                <a:sysClr val="windowText" lastClr="000000"/>
              </a:solidFill>
              <a:latin typeface="+mj-lt"/>
            </a:rPr>
            <a:t>GÈNERE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0.38153</cdr:x>
      <cdr:y>0.40672</cdr:y>
    </cdr:from>
    <cdr:to>
      <cdr:x>0.66051</cdr:x>
      <cdr:y>0.6194</cdr:y>
    </cdr:to>
    <cdr:sp macro="" textlink="">
      <cdr:nvSpPr>
        <cdr:cNvPr id="2" name="Cuadro de texto 1"/>
        <cdr:cNvSpPr txBox="1"/>
      </cdr:nvSpPr>
      <cdr:spPr>
        <a:xfrm xmlns:a="http://schemas.openxmlformats.org/drawingml/2006/main">
          <a:off x="1417289" y="1038226"/>
          <a:ext cx="1036341" cy="5429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s-ES" sz="1100" b="1" kern="1200">
              <a:latin typeface="+mj-lt"/>
            </a:rPr>
            <a:t>      </a:t>
          </a:r>
        </a:p>
        <a:p xmlns:a="http://schemas.openxmlformats.org/drawingml/2006/main">
          <a:r>
            <a:rPr lang="es-ES" sz="1100" b="1" kern="1200">
              <a:latin typeface="+mj-lt"/>
            </a:rPr>
            <a:t>       IDIOMA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0.36478</cdr:x>
      <cdr:y>0.41136</cdr:y>
    </cdr:from>
    <cdr:to>
      <cdr:x>0.64623</cdr:x>
      <cdr:y>0.69773</cdr:y>
    </cdr:to>
    <cdr:sp macro="" textlink="">
      <cdr:nvSpPr>
        <cdr:cNvPr id="2" name="CuadroTexto 1">
          <a:extLst xmlns:a="http://schemas.openxmlformats.org/drawingml/2006/main">
            <a:ext uri="{FF2B5EF4-FFF2-40B4-BE49-F238E27FC236}">
              <a16:creationId xmlns:a16="http://schemas.microsoft.com/office/drawing/2014/main" id="{224C19C7-766E-35B3-12EB-F935CE511921}"/>
            </a:ext>
          </a:extLst>
        </cdr:cNvPr>
        <cdr:cNvSpPr txBox="1"/>
      </cdr:nvSpPr>
      <cdr:spPr>
        <a:xfrm xmlns:a="http://schemas.openxmlformats.org/drawingml/2006/main">
          <a:off x="2209800" y="1724026"/>
          <a:ext cx="1704975" cy="12001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s-ES" sz="1100" kern="1200"/>
        </a:p>
      </cdr:txBody>
    </cdr:sp>
  </cdr:relSizeAnchor>
  <cdr:relSizeAnchor xmlns:cdr="http://schemas.openxmlformats.org/drawingml/2006/chartDrawing">
    <cdr:from>
      <cdr:x>0.29977</cdr:x>
      <cdr:y>0.37056</cdr:y>
    </cdr:from>
    <cdr:to>
      <cdr:x>0.65568</cdr:x>
      <cdr:y>0.5972</cdr:y>
    </cdr:to>
    <cdr:sp macro="" textlink="">
      <cdr:nvSpPr>
        <cdr:cNvPr id="3" name="CuadroTexto 2">
          <a:extLst xmlns:a="http://schemas.openxmlformats.org/drawingml/2006/main">
            <a:ext uri="{FF2B5EF4-FFF2-40B4-BE49-F238E27FC236}">
              <a16:creationId xmlns:a16="http://schemas.microsoft.com/office/drawing/2014/main" id="{425209BB-648A-DCCA-29E7-1488F28371E1}"/>
            </a:ext>
          </a:extLst>
        </cdr:cNvPr>
        <cdr:cNvSpPr txBox="1"/>
      </cdr:nvSpPr>
      <cdr:spPr>
        <a:xfrm xmlns:a="http://schemas.openxmlformats.org/drawingml/2006/main">
          <a:off x="1062188" y="1018877"/>
          <a:ext cx="1261096" cy="6231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es-ES" sz="1100" b="1" kern="1200">
              <a:latin typeface="+mj-lt"/>
            </a:rPr>
            <a:t>        INTERNACIONAL</a:t>
          </a:r>
        </a:p>
        <a:p xmlns:a="http://schemas.openxmlformats.org/drawingml/2006/main">
          <a:pPr algn="ctr"/>
          <a:r>
            <a:rPr lang="es-ES" sz="1100" b="1" kern="1200">
              <a:latin typeface="+mj-lt"/>
            </a:rPr>
            <a:t>     V/</a:t>
          </a:r>
        </a:p>
        <a:p xmlns:a="http://schemas.openxmlformats.org/drawingml/2006/main">
          <a:pPr algn="ctr"/>
          <a:r>
            <a:rPr lang="es-ES" sz="1100" b="1" kern="1200">
              <a:latin typeface="+mj-lt"/>
            </a:rPr>
            <a:t>     DOMÈSTIC</a:t>
          </a:r>
        </a:p>
        <a:p xmlns:a="http://schemas.openxmlformats.org/drawingml/2006/main">
          <a:endParaRPr lang="es-ES" sz="1100" kern="1200"/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0.30672</cdr:x>
      <cdr:y>0.46</cdr:y>
    </cdr:from>
    <cdr:to>
      <cdr:x>0.65069</cdr:x>
      <cdr:y>0.59657</cdr:y>
    </cdr:to>
    <cdr:sp macro="" textlink="">
      <cdr:nvSpPr>
        <cdr:cNvPr id="2" name="Cuadro de texto 1"/>
        <cdr:cNvSpPr txBox="1"/>
      </cdr:nvSpPr>
      <cdr:spPr>
        <a:xfrm xmlns:a="http://schemas.openxmlformats.org/drawingml/2006/main">
          <a:off x="1095577" y="1086614"/>
          <a:ext cx="1228618" cy="32260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s-ES" sz="1100" b="1" kern="1200">
              <a:latin typeface="+mj-lt"/>
            </a:rPr>
            <a:t>  TRAMS QUANTIA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0.35974</cdr:x>
      <cdr:y>0.47583</cdr:y>
    </cdr:from>
    <cdr:to>
      <cdr:x>0.63201</cdr:x>
      <cdr:y>0.7201</cdr:y>
    </cdr:to>
    <cdr:sp macro="" textlink="">
      <cdr:nvSpPr>
        <cdr:cNvPr id="2" name="CuadroTexto 1">
          <a:extLst xmlns:a="http://schemas.openxmlformats.org/drawingml/2006/main">
            <a:ext uri="{FF2B5EF4-FFF2-40B4-BE49-F238E27FC236}">
              <a16:creationId xmlns:a16="http://schemas.microsoft.com/office/drawing/2014/main" id="{16702A6D-887D-604C-F4B4-4BD284A61AC7}"/>
            </a:ext>
          </a:extLst>
        </cdr:cNvPr>
        <cdr:cNvSpPr txBox="1"/>
      </cdr:nvSpPr>
      <cdr:spPr>
        <a:xfrm xmlns:a="http://schemas.openxmlformats.org/drawingml/2006/main">
          <a:off x="2076449" y="1781176"/>
          <a:ext cx="1571625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s-ES" sz="1100" kern="1200"/>
        </a:p>
      </cdr:txBody>
    </cdr:sp>
  </cdr:relSizeAnchor>
  <cdr:relSizeAnchor xmlns:cdr="http://schemas.openxmlformats.org/drawingml/2006/chartDrawing">
    <cdr:from>
      <cdr:x>0.35525</cdr:x>
      <cdr:y>0.41896</cdr:y>
    </cdr:from>
    <cdr:to>
      <cdr:x>0.74228</cdr:x>
      <cdr:y>0.59808</cdr:y>
    </cdr:to>
    <cdr:sp macro="" textlink="">
      <cdr:nvSpPr>
        <cdr:cNvPr id="3" name="CuadroTexto 2">
          <a:extLst xmlns:a="http://schemas.openxmlformats.org/drawingml/2006/main">
            <a:ext uri="{FF2B5EF4-FFF2-40B4-BE49-F238E27FC236}">
              <a16:creationId xmlns:a16="http://schemas.microsoft.com/office/drawing/2014/main" id="{561D7C99-77A2-3A97-B3EA-16EA86824F84}"/>
            </a:ext>
          </a:extLst>
        </cdr:cNvPr>
        <cdr:cNvSpPr txBox="1"/>
      </cdr:nvSpPr>
      <cdr:spPr>
        <a:xfrm xmlns:a="http://schemas.openxmlformats.org/drawingml/2006/main">
          <a:off x="1143710" y="802101"/>
          <a:ext cx="1246023" cy="3429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s-ES" sz="1000" b="1" kern="1200">
              <a:latin typeface="+mj-lt"/>
            </a:rPr>
            <a:t>COMPLIMENT LAUDE</a:t>
          </a:r>
        </a:p>
      </cdr:txBody>
    </cdr:sp>
  </cdr:relSizeAnchor>
</c:userShape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9FC78-70C9-43B6-843C-B76C0E9AD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428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Tribunal Arbitral de Barcelona TAB</dc:creator>
  <cp:keywords/>
  <dc:description/>
  <cp:lastModifiedBy>Secretaria TAB</cp:lastModifiedBy>
  <cp:revision>13</cp:revision>
  <cp:lastPrinted>2025-01-31T09:25:00Z</cp:lastPrinted>
  <dcterms:created xsi:type="dcterms:W3CDTF">2026-02-03T12:11:00Z</dcterms:created>
  <dcterms:modified xsi:type="dcterms:W3CDTF">2026-03-30T12:38:00Z</dcterms:modified>
</cp:coreProperties>
</file>