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drawings/drawing3.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4.xml" ContentType="application/vnd.openxmlformats-officedocument.drawingml.chartshapes+xml"/>
  <Override PartName="/word/charts/chart15.xml" ContentType="application/vnd.openxmlformats-officedocument.drawingml.chart+xml"/>
  <Override PartName="/word/drawings/drawing5.xml" ContentType="application/vnd.openxmlformats-officedocument.drawingml.chartshapes+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drawings/drawing6.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9F4A" w14:textId="4A13E51E" w:rsidR="00BC0BB8" w:rsidRPr="00591716" w:rsidRDefault="004C5551" w:rsidP="004C5551">
      <w:pPr>
        <w:jc w:val="center"/>
        <w:rPr>
          <w:rFonts w:ascii="Calibri Light" w:hAnsi="Calibri Light" w:cs="Calibri Light"/>
          <w:b/>
          <w:bCs/>
          <w:sz w:val="32"/>
          <w:szCs w:val="32"/>
        </w:rPr>
      </w:pPr>
      <w:r w:rsidRPr="00591716">
        <w:rPr>
          <w:rFonts w:ascii="Calibri Light" w:hAnsi="Calibri Light" w:cs="Calibri Light"/>
          <w:b/>
          <w:bCs/>
          <w:sz w:val="32"/>
          <w:szCs w:val="32"/>
        </w:rPr>
        <w:t>ESTADÍSTI</w:t>
      </w:r>
      <w:r w:rsidR="009F4908" w:rsidRPr="00591716">
        <w:rPr>
          <w:rFonts w:ascii="Calibri Light" w:hAnsi="Calibri Light" w:cs="Calibri Light"/>
          <w:b/>
          <w:bCs/>
          <w:sz w:val="32"/>
          <w:szCs w:val="32"/>
        </w:rPr>
        <w:t>CAS</w:t>
      </w:r>
      <w:r w:rsidRPr="00591716">
        <w:rPr>
          <w:rFonts w:ascii="Calibri Light" w:hAnsi="Calibri Light" w:cs="Calibri Light"/>
          <w:b/>
          <w:bCs/>
          <w:sz w:val="32"/>
          <w:szCs w:val="32"/>
        </w:rPr>
        <w:t xml:space="preserve"> 2025</w:t>
      </w:r>
    </w:p>
    <w:p w14:paraId="214F5FA9" w14:textId="7A202DE7" w:rsidR="00BF384F" w:rsidRPr="00591716" w:rsidRDefault="00BF384F"/>
    <w:p w14:paraId="4ACF266C" w14:textId="78D250E6" w:rsidR="00EF4AF2" w:rsidRPr="00591716" w:rsidRDefault="00E6281E" w:rsidP="00E6281E">
      <w:pPr>
        <w:jc w:val="center"/>
        <w:rPr>
          <w:rFonts w:ascii="Calibri Light" w:hAnsi="Calibri Light" w:cs="Calibri Light"/>
          <w:sz w:val="18"/>
          <w:szCs w:val="18"/>
        </w:rPr>
      </w:pPr>
      <w:r w:rsidRPr="00591716">
        <w:rPr>
          <w:rFonts w:ascii="Calibri Light" w:hAnsi="Calibri Light" w:cs="Calibri Light"/>
          <w:sz w:val="18"/>
          <w:szCs w:val="18"/>
        </w:rPr>
        <w:t>Durant</w:t>
      </w:r>
      <w:r w:rsidR="009F4908" w:rsidRPr="00591716">
        <w:rPr>
          <w:rFonts w:ascii="Calibri Light" w:hAnsi="Calibri Light" w:cs="Calibri Light"/>
          <w:sz w:val="18"/>
          <w:szCs w:val="18"/>
        </w:rPr>
        <w:t>e el año</w:t>
      </w:r>
      <w:r w:rsidRPr="00591716">
        <w:rPr>
          <w:rFonts w:ascii="Calibri Light" w:hAnsi="Calibri Light" w:cs="Calibri Light"/>
          <w:sz w:val="18"/>
          <w:szCs w:val="18"/>
        </w:rPr>
        <w:t xml:space="preserve"> 2025 s</w:t>
      </w:r>
      <w:r w:rsidR="009F4908" w:rsidRPr="00591716">
        <w:rPr>
          <w:rFonts w:ascii="Calibri Light" w:hAnsi="Calibri Light" w:cs="Calibri Light"/>
          <w:sz w:val="18"/>
          <w:szCs w:val="18"/>
        </w:rPr>
        <w:t xml:space="preserve">e </w:t>
      </w:r>
      <w:r w:rsidRPr="00591716">
        <w:rPr>
          <w:rFonts w:ascii="Calibri Light" w:hAnsi="Calibri Light" w:cs="Calibri Light"/>
          <w:sz w:val="18"/>
          <w:szCs w:val="18"/>
        </w:rPr>
        <w:t>ha</w:t>
      </w:r>
      <w:r w:rsidR="00735113" w:rsidRPr="00591716">
        <w:rPr>
          <w:rFonts w:ascii="Calibri Light" w:hAnsi="Calibri Light" w:cs="Calibri Light"/>
          <w:sz w:val="18"/>
          <w:szCs w:val="18"/>
        </w:rPr>
        <w:t>n</w:t>
      </w:r>
      <w:r w:rsidRPr="00591716">
        <w:rPr>
          <w:rFonts w:ascii="Calibri Light" w:hAnsi="Calibri Light" w:cs="Calibri Light"/>
          <w:sz w:val="18"/>
          <w:szCs w:val="18"/>
        </w:rPr>
        <w:t xml:space="preserve"> administra</w:t>
      </w:r>
      <w:r w:rsidR="009F4908" w:rsidRPr="00591716">
        <w:rPr>
          <w:rFonts w:ascii="Calibri Light" w:hAnsi="Calibri Light" w:cs="Calibri Light"/>
          <w:sz w:val="18"/>
          <w:szCs w:val="18"/>
        </w:rPr>
        <w:t>do</w:t>
      </w:r>
      <w:r w:rsidRPr="00591716">
        <w:rPr>
          <w:rFonts w:ascii="Calibri Light" w:hAnsi="Calibri Light" w:cs="Calibri Light"/>
          <w:sz w:val="18"/>
          <w:szCs w:val="18"/>
        </w:rPr>
        <w:t xml:space="preserve"> </w:t>
      </w:r>
      <w:r w:rsidRPr="00591716">
        <w:rPr>
          <w:rFonts w:ascii="Calibri Light" w:hAnsi="Calibri Light" w:cs="Calibri Light"/>
          <w:b/>
          <w:bCs/>
          <w:sz w:val="20"/>
          <w:szCs w:val="20"/>
        </w:rPr>
        <w:t>73</w:t>
      </w:r>
      <w:r w:rsidRPr="00591716">
        <w:rPr>
          <w:rFonts w:ascii="Calibri Light" w:hAnsi="Calibri Light" w:cs="Calibri Light"/>
          <w:sz w:val="18"/>
          <w:szCs w:val="18"/>
        </w:rPr>
        <w:t xml:space="preserve"> expedient</w:t>
      </w:r>
      <w:r w:rsidR="009F4908" w:rsidRPr="00591716">
        <w:rPr>
          <w:rFonts w:ascii="Calibri Light" w:hAnsi="Calibri Light" w:cs="Calibri Light"/>
          <w:sz w:val="18"/>
          <w:szCs w:val="18"/>
        </w:rPr>
        <w:t>e</w:t>
      </w:r>
      <w:r w:rsidRPr="00591716">
        <w:rPr>
          <w:rFonts w:ascii="Calibri Light" w:hAnsi="Calibri Light" w:cs="Calibri Light"/>
          <w:sz w:val="18"/>
          <w:szCs w:val="18"/>
        </w:rPr>
        <w:t>s, a</w:t>
      </w:r>
      <w:r w:rsidR="009F4908" w:rsidRPr="00591716">
        <w:rPr>
          <w:rFonts w:ascii="Calibri Light" w:hAnsi="Calibri Light" w:cs="Calibri Light"/>
          <w:sz w:val="18"/>
          <w:szCs w:val="18"/>
        </w:rPr>
        <w:t xml:space="preserve">l </w:t>
      </w:r>
      <w:r w:rsidRPr="00591716">
        <w:rPr>
          <w:rFonts w:ascii="Calibri Light" w:hAnsi="Calibri Light" w:cs="Calibri Light"/>
          <w:sz w:val="18"/>
          <w:szCs w:val="18"/>
        </w:rPr>
        <w:t xml:space="preserve">igual que </w:t>
      </w:r>
      <w:r w:rsidR="009F4908" w:rsidRPr="00591716">
        <w:rPr>
          <w:rFonts w:ascii="Calibri Light" w:hAnsi="Calibri Light" w:cs="Calibri Light"/>
          <w:sz w:val="18"/>
          <w:szCs w:val="18"/>
        </w:rPr>
        <w:t>el año</w:t>
      </w:r>
      <w:r w:rsidRPr="00591716">
        <w:rPr>
          <w:rFonts w:ascii="Calibri Light" w:hAnsi="Calibri Light" w:cs="Calibri Light"/>
          <w:sz w:val="18"/>
          <w:szCs w:val="18"/>
        </w:rPr>
        <w:t xml:space="preserve"> pas</w:t>
      </w:r>
      <w:r w:rsidR="009F4908" w:rsidRPr="00591716">
        <w:rPr>
          <w:rFonts w:ascii="Calibri Light" w:hAnsi="Calibri Light" w:cs="Calibri Light"/>
          <w:sz w:val="18"/>
          <w:szCs w:val="18"/>
        </w:rPr>
        <w:t>ado</w:t>
      </w:r>
      <w:r w:rsidRPr="00591716">
        <w:rPr>
          <w:rFonts w:ascii="Calibri Light" w:hAnsi="Calibri Light" w:cs="Calibri Light"/>
          <w:sz w:val="18"/>
          <w:szCs w:val="18"/>
        </w:rPr>
        <w:t>, de</w:t>
      </w:r>
      <w:r w:rsidR="009F4908" w:rsidRPr="00591716">
        <w:rPr>
          <w:rFonts w:ascii="Calibri Light" w:hAnsi="Calibri Light" w:cs="Calibri Light"/>
          <w:sz w:val="18"/>
          <w:szCs w:val="18"/>
        </w:rPr>
        <w:t xml:space="preserve"> los c</w:t>
      </w:r>
      <w:r w:rsidRPr="00591716">
        <w:rPr>
          <w:rFonts w:ascii="Calibri Light" w:hAnsi="Calibri Light" w:cs="Calibri Light"/>
          <w:sz w:val="18"/>
          <w:szCs w:val="18"/>
        </w:rPr>
        <w:t>ual</w:t>
      </w:r>
      <w:r w:rsidR="009F4908" w:rsidRPr="00591716">
        <w:rPr>
          <w:rFonts w:ascii="Calibri Light" w:hAnsi="Calibri Light" w:cs="Calibri Light"/>
          <w:sz w:val="18"/>
          <w:szCs w:val="18"/>
        </w:rPr>
        <w:t>e</w:t>
      </w:r>
      <w:r w:rsidRPr="00591716">
        <w:rPr>
          <w:rFonts w:ascii="Calibri Light" w:hAnsi="Calibri Light" w:cs="Calibri Light"/>
          <w:sz w:val="18"/>
          <w:szCs w:val="18"/>
        </w:rPr>
        <w:t xml:space="preserve">s </w:t>
      </w:r>
      <w:r w:rsidRPr="00591716">
        <w:rPr>
          <w:rFonts w:ascii="Calibri Light" w:hAnsi="Calibri Light" w:cs="Calibri Light"/>
          <w:b/>
          <w:bCs/>
          <w:sz w:val="20"/>
          <w:szCs w:val="20"/>
        </w:rPr>
        <w:t>49</w:t>
      </w:r>
      <w:r w:rsidRPr="00591716">
        <w:rPr>
          <w:rFonts w:ascii="Calibri Light" w:hAnsi="Calibri Light" w:cs="Calibri Light"/>
          <w:sz w:val="18"/>
          <w:szCs w:val="18"/>
        </w:rPr>
        <w:t xml:space="preserve"> </w:t>
      </w:r>
      <w:r w:rsidR="009F4908" w:rsidRPr="00591716">
        <w:rPr>
          <w:rFonts w:ascii="Calibri Light" w:hAnsi="Calibri Light" w:cs="Calibri Light"/>
          <w:sz w:val="18"/>
          <w:szCs w:val="18"/>
        </w:rPr>
        <w:t>todavía</w:t>
      </w:r>
      <w:r w:rsidRPr="00591716">
        <w:rPr>
          <w:rFonts w:ascii="Calibri Light" w:hAnsi="Calibri Light" w:cs="Calibri Light"/>
          <w:sz w:val="18"/>
          <w:szCs w:val="18"/>
        </w:rPr>
        <w:t xml:space="preserve"> </w:t>
      </w:r>
      <w:r w:rsidR="00ED7C87" w:rsidRPr="00591716">
        <w:rPr>
          <w:rFonts w:ascii="Calibri Light" w:hAnsi="Calibri Light" w:cs="Calibri Light"/>
          <w:sz w:val="18"/>
          <w:szCs w:val="18"/>
        </w:rPr>
        <w:t>están</w:t>
      </w:r>
      <w:r w:rsidRPr="00591716">
        <w:rPr>
          <w:rFonts w:ascii="Calibri Light" w:hAnsi="Calibri Light" w:cs="Calibri Light"/>
          <w:sz w:val="18"/>
          <w:szCs w:val="18"/>
        </w:rPr>
        <w:t xml:space="preserve"> en curs</w:t>
      </w:r>
      <w:r w:rsidR="009F4908" w:rsidRPr="00591716">
        <w:rPr>
          <w:rFonts w:ascii="Calibri Light" w:hAnsi="Calibri Light" w:cs="Calibri Light"/>
          <w:sz w:val="18"/>
          <w:szCs w:val="18"/>
        </w:rPr>
        <w:t>o</w:t>
      </w:r>
      <w:r w:rsidR="00134A14" w:rsidRPr="00591716">
        <w:rPr>
          <w:rFonts w:ascii="Calibri Light" w:hAnsi="Calibri Light" w:cs="Calibri Light"/>
          <w:sz w:val="18"/>
          <w:szCs w:val="18"/>
        </w:rPr>
        <w:t>,</w:t>
      </w:r>
      <w:r w:rsidRPr="00591716">
        <w:rPr>
          <w:rFonts w:ascii="Calibri Light" w:hAnsi="Calibri Light" w:cs="Calibri Light"/>
          <w:sz w:val="18"/>
          <w:szCs w:val="18"/>
        </w:rPr>
        <w:t xml:space="preserve"> ha</w:t>
      </w:r>
      <w:r w:rsidR="009F4908" w:rsidRPr="00591716">
        <w:rPr>
          <w:rFonts w:ascii="Calibri Light" w:hAnsi="Calibri Light" w:cs="Calibri Light"/>
          <w:sz w:val="18"/>
          <w:szCs w:val="18"/>
        </w:rPr>
        <w:t>biéndo</w:t>
      </w:r>
      <w:r w:rsidRPr="00591716">
        <w:rPr>
          <w:rFonts w:ascii="Calibri Light" w:hAnsi="Calibri Light" w:cs="Calibri Light"/>
          <w:sz w:val="18"/>
          <w:szCs w:val="18"/>
        </w:rPr>
        <w:t>se ar</w:t>
      </w:r>
      <w:r w:rsidR="009F4908" w:rsidRPr="00591716">
        <w:rPr>
          <w:rFonts w:ascii="Calibri Light" w:hAnsi="Calibri Light" w:cs="Calibri Light"/>
          <w:sz w:val="18"/>
          <w:szCs w:val="18"/>
        </w:rPr>
        <w:t>chivado</w:t>
      </w:r>
      <w:r w:rsidRPr="00591716">
        <w:rPr>
          <w:rFonts w:ascii="Calibri Light" w:hAnsi="Calibri Light" w:cs="Calibri Light"/>
          <w:sz w:val="18"/>
          <w:szCs w:val="18"/>
        </w:rPr>
        <w:t xml:space="preserve"> </w:t>
      </w:r>
      <w:r w:rsidRPr="00591716">
        <w:rPr>
          <w:rFonts w:ascii="Calibri Light" w:hAnsi="Calibri Light" w:cs="Calibri Light"/>
          <w:b/>
          <w:bCs/>
          <w:sz w:val="20"/>
          <w:szCs w:val="20"/>
        </w:rPr>
        <w:t xml:space="preserve">24 </w:t>
      </w:r>
      <w:r w:rsidRPr="00591716">
        <w:rPr>
          <w:rFonts w:ascii="Calibri Light" w:hAnsi="Calibri Light" w:cs="Calibri Light"/>
          <w:sz w:val="18"/>
          <w:szCs w:val="18"/>
        </w:rPr>
        <w:t>expedient</w:t>
      </w:r>
      <w:r w:rsidR="009F4908" w:rsidRPr="00591716">
        <w:rPr>
          <w:rFonts w:ascii="Calibri Light" w:hAnsi="Calibri Light" w:cs="Calibri Light"/>
          <w:sz w:val="18"/>
          <w:szCs w:val="18"/>
        </w:rPr>
        <w:t>e</w:t>
      </w:r>
      <w:r w:rsidRPr="00591716">
        <w:rPr>
          <w:rFonts w:ascii="Calibri Light" w:hAnsi="Calibri Light" w:cs="Calibri Light"/>
          <w:sz w:val="18"/>
          <w:szCs w:val="18"/>
        </w:rPr>
        <w:t>s</w:t>
      </w:r>
      <w:r w:rsidR="00134A14" w:rsidRPr="00591716">
        <w:rPr>
          <w:rFonts w:ascii="Calibri Light" w:hAnsi="Calibri Light" w:cs="Calibri Light"/>
          <w:sz w:val="18"/>
          <w:szCs w:val="18"/>
        </w:rPr>
        <w:t>.</w:t>
      </w:r>
    </w:p>
    <w:p w14:paraId="04F71DCE" w14:textId="6749035B" w:rsidR="00E6281E" w:rsidRPr="00591716" w:rsidRDefault="00735113" w:rsidP="00E6281E">
      <w:pPr>
        <w:jc w:val="center"/>
        <w:rPr>
          <w:rFonts w:ascii="Calibri Light" w:hAnsi="Calibri Light" w:cs="Calibri Light"/>
          <w:sz w:val="18"/>
          <w:szCs w:val="18"/>
        </w:rPr>
      </w:pPr>
      <w:proofErr w:type="gramStart"/>
      <w:r w:rsidRPr="00591716">
        <w:rPr>
          <w:rFonts w:ascii="Calibri Light" w:hAnsi="Calibri Light" w:cs="Calibri Light"/>
          <w:sz w:val="18"/>
          <w:szCs w:val="18"/>
        </w:rPr>
        <w:t>Destacar</w:t>
      </w:r>
      <w:proofErr w:type="gramEnd"/>
      <w:r w:rsidR="00E6281E" w:rsidRPr="00591716">
        <w:rPr>
          <w:rFonts w:ascii="Calibri Light" w:hAnsi="Calibri Light" w:cs="Calibri Light"/>
          <w:sz w:val="18"/>
          <w:szCs w:val="18"/>
        </w:rPr>
        <w:t xml:space="preserve"> un augment</w:t>
      </w:r>
      <w:r w:rsidR="00651B34" w:rsidRPr="00591716">
        <w:rPr>
          <w:rFonts w:ascii="Calibri Light" w:hAnsi="Calibri Light" w:cs="Calibri Light"/>
          <w:sz w:val="18"/>
          <w:szCs w:val="18"/>
        </w:rPr>
        <w:t>o</w:t>
      </w:r>
      <w:r w:rsidR="00E6281E" w:rsidRPr="00591716">
        <w:rPr>
          <w:rFonts w:ascii="Calibri Light" w:hAnsi="Calibri Light" w:cs="Calibri Light"/>
          <w:sz w:val="18"/>
          <w:szCs w:val="18"/>
        </w:rPr>
        <w:t xml:space="preserve"> d</w:t>
      </w:r>
      <w:r w:rsidR="00651B34" w:rsidRPr="00591716">
        <w:rPr>
          <w:rFonts w:ascii="Calibri Light" w:hAnsi="Calibri Light" w:cs="Calibri Light"/>
          <w:sz w:val="18"/>
          <w:szCs w:val="18"/>
        </w:rPr>
        <w:t xml:space="preserve">e </w:t>
      </w:r>
      <w:r w:rsidR="00E6281E" w:rsidRPr="00591716">
        <w:rPr>
          <w:rFonts w:ascii="Calibri Light" w:hAnsi="Calibri Light" w:cs="Calibri Light"/>
          <w:sz w:val="18"/>
          <w:szCs w:val="18"/>
        </w:rPr>
        <w:t xml:space="preserve">entrada </w:t>
      </w:r>
      <w:r w:rsidR="00FB4E39" w:rsidRPr="00591716">
        <w:rPr>
          <w:rFonts w:ascii="Calibri Light" w:hAnsi="Calibri Light" w:cs="Calibri Light"/>
          <w:sz w:val="18"/>
          <w:szCs w:val="18"/>
        </w:rPr>
        <w:t>de n</w:t>
      </w:r>
      <w:r w:rsidR="00651B34" w:rsidRPr="00591716">
        <w:rPr>
          <w:rFonts w:ascii="Calibri Light" w:hAnsi="Calibri Light" w:cs="Calibri Light"/>
          <w:sz w:val="18"/>
          <w:szCs w:val="18"/>
        </w:rPr>
        <w:t>uevo</w:t>
      </w:r>
      <w:r w:rsidR="00FB4E39" w:rsidRPr="00591716">
        <w:rPr>
          <w:rFonts w:ascii="Calibri Light" w:hAnsi="Calibri Light" w:cs="Calibri Light"/>
          <w:sz w:val="18"/>
          <w:szCs w:val="18"/>
        </w:rPr>
        <w:t xml:space="preserve">s </w:t>
      </w:r>
      <w:r w:rsidR="00E6281E" w:rsidRPr="00591716">
        <w:rPr>
          <w:rFonts w:ascii="Calibri Light" w:hAnsi="Calibri Light" w:cs="Calibri Light"/>
          <w:sz w:val="18"/>
          <w:szCs w:val="18"/>
        </w:rPr>
        <w:t>expedient</w:t>
      </w:r>
      <w:r w:rsidR="00651B34" w:rsidRPr="00591716">
        <w:rPr>
          <w:rFonts w:ascii="Calibri Light" w:hAnsi="Calibri Light" w:cs="Calibri Light"/>
          <w:sz w:val="18"/>
          <w:szCs w:val="18"/>
        </w:rPr>
        <w:t>e</w:t>
      </w:r>
      <w:r w:rsidR="00E6281E" w:rsidRPr="00591716">
        <w:rPr>
          <w:rFonts w:ascii="Calibri Light" w:hAnsi="Calibri Light" w:cs="Calibri Light"/>
          <w:sz w:val="18"/>
          <w:szCs w:val="18"/>
        </w:rPr>
        <w:t>s durant</w:t>
      </w:r>
      <w:r w:rsidR="00651B34" w:rsidRPr="00591716">
        <w:rPr>
          <w:rFonts w:ascii="Calibri Light" w:hAnsi="Calibri Light" w:cs="Calibri Light"/>
          <w:sz w:val="18"/>
          <w:szCs w:val="18"/>
        </w:rPr>
        <w:t>e</w:t>
      </w:r>
      <w:r w:rsidR="00E6281E" w:rsidRPr="00591716">
        <w:rPr>
          <w:rFonts w:ascii="Calibri Light" w:hAnsi="Calibri Light" w:cs="Calibri Light"/>
          <w:sz w:val="18"/>
          <w:szCs w:val="18"/>
        </w:rPr>
        <w:t xml:space="preserve"> </w:t>
      </w:r>
      <w:r w:rsidR="00651B34" w:rsidRPr="00591716">
        <w:rPr>
          <w:rFonts w:ascii="Calibri Light" w:hAnsi="Calibri Light" w:cs="Calibri Light"/>
          <w:sz w:val="18"/>
          <w:szCs w:val="18"/>
        </w:rPr>
        <w:t>e</w:t>
      </w:r>
      <w:r w:rsidR="00E6281E" w:rsidRPr="00591716">
        <w:rPr>
          <w:rFonts w:ascii="Calibri Light" w:hAnsi="Calibri Light" w:cs="Calibri Light"/>
          <w:sz w:val="18"/>
          <w:szCs w:val="18"/>
        </w:rPr>
        <w:t>l</w:t>
      </w:r>
      <w:r w:rsidR="00651B34" w:rsidRPr="00591716">
        <w:rPr>
          <w:rFonts w:ascii="Calibri Light" w:hAnsi="Calibri Light" w:cs="Calibri Light"/>
          <w:sz w:val="18"/>
          <w:szCs w:val="18"/>
        </w:rPr>
        <w:t xml:space="preserve"> </w:t>
      </w:r>
      <w:r w:rsidR="00E6281E" w:rsidRPr="00591716">
        <w:rPr>
          <w:rFonts w:ascii="Calibri Light" w:hAnsi="Calibri Light" w:cs="Calibri Light"/>
          <w:sz w:val="18"/>
          <w:szCs w:val="18"/>
        </w:rPr>
        <w:t>a</w:t>
      </w:r>
      <w:r w:rsidR="00651B34" w:rsidRPr="00591716">
        <w:rPr>
          <w:rFonts w:ascii="Calibri Light" w:hAnsi="Calibri Light" w:cs="Calibri Light"/>
          <w:sz w:val="18"/>
          <w:szCs w:val="18"/>
        </w:rPr>
        <w:t>ño</w:t>
      </w:r>
      <w:r w:rsidR="00E6281E" w:rsidRPr="00591716">
        <w:rPr>
          <w:rFonts w:ascii="Calibri Light" w:hAnsi="Calibri Light" w:cs="Calibri Light"/>
          <w:sz w:val="18"/>
          <w:szCs w:val="18"/>
        </w:rPr>
        <w:t xml:space="preserve"> 2025 que supo</w:t>
      </w:r>
      <w:r w:rsidR="00651B34" w:rsidRPr="00591716">
        <w:rPr>
          <w:rFonts w:ascii="Calibri Light" w:hAnsi="Calibri Light" w:cs="Calibri Light"/>
          <w:sz w:val="18"/>
          <w:szCs w:val="18"/>
        </w:rPr>
        <w:t>ne</w:t>
      </w:r>
      <w:r w:rsidR="00E6281E" w:rsidRPr="00591716">
        <w:rPr>
          <w:rFonts w:ascii="Calibri Light" w:hAnsi="Calibri Light" w:cs="Calibri Light"/>
          <w:sz w:val="18"/>
          <w:szCs w:val="18"/>
        </w:rPr>
        <w:t xml:space="preserve"> un total de </w:t>
      </w:r>
      <w:r w:rsidR="00E6281E" w:rsidRPr="00591716">
        <w:rPr>
          <w:rFonts w:ascii="Calibri Light" w:hAnsi="Calibri Light" w:cs="Calibri Light"/>
          <w:b/>
          <w:bCs/>
          <w:sz w:val="20"/>
          <w:szCs w:val="20"/>
        </w:rPr>
        <w:t xml:space="preserve">41 </w:t>
      </w:r>
      <w:r w:rsidR="00E6281E" w:rsidRPr="00591716">
        <w:rPr>
          <w:rFonts w:ascii="Calibri Light" w:hAnsi="Calibri Light" w:cs="Calibri Light"/>
          <w:sz w:val="18"/>
          <w:szCs w:val="18"/>
        </w:rPr>
        <w:t>expedient</w:t>
      </w:r>
      <w:r w:rsidR="00651B34" w:rsidRPr="00591716">
        <w:rPr>
          <w:rFonts w:ascii="Calibri Light" w:hAnsi="Calibri Light" w:cs="Calibri Light"/>
          <w:sz w:val="18"/>
          <w:szCs w:val="18"/>
        </w:rPr>
        <w:t>e</w:t>
      </w:r>
      <w:r w:rsidR="00E6281E" w:rsidRPr="00591716">
        <w:rPr>
          <w:rFonts w:ascii="Calibri Light" w:hAnsi="Calibri Light" w:cs="Calibri Light"/>
          <w:sz w:val="18"/>
          <w:szCs w:val="18"/>
        </w:rPr>
        <w:t>s</w:t>
      </w:r>
      <w:r w:rsidR="00651B34" w:rsidRPr="00591716">
        <w:rPr>
          <w:rFonts w:ascii="Calibri Light" w:hAnsi="Calibri Light" w:cs="Calibri Light"/>
          <w:sz w:val="18"/>
          <w:szCs w:val="18"/>
        </w:rPr>
        <w:t>,</w:t>
      </w:r>
      <w:r w:rsidR="00E6281E" w:rsidRPr="00591716">
        <w:rPr>
          <w:rFonts w:ascii="Calibri Light" w:hAnsi="Calibri Light" w:cs="Calibri Light"/>
          <w:sz w:val="18"/>
          <w:szCs w:val="18"/>
        </w:rPr>
        <w:t xml:space="preserve"> de</w:t>
      </w:r>
      <w:r w:rsidR="00651B34" w:rsidRPr="00591716">
        <w:rPr>
          <w:rFonts w:ascii="Calibri Light" w:hAnsi="Calibri Light" w:cs="Calibri Light"/>
          <w:sz w:val="18"/>
          <w:szCs w:val="18"/>
        </w:rPr>
        <w:t xml:space="preserve"> </w:t>
      </w:r>
      <w:r w:rsidR="00E6281E" w:rsidRPr="00591716">
        <w:rPr>
          <w:rFonts w:ascii="Calibri Light" w:hAnsi="Calibri Light" w:cs="Calibri Light"/>
          <w:sz w:val="18"/>
          <w:szCs w:val="18"/>
        </w:rPr>
        <w:t>l</w:t>
      </w:r>
      <w:r w:rsidR="00651B34" w:rsidRPr="00591716">
        <w:rPr>
          <w:rFonts w:ascii="Calibri Light" w:hAnsi="Calibri Light" w:cs="Calibri Light"/>
          <w:sz w:val="18"/>
          <w:szCs w:val="18"/>
        </w:rPr>
        <w:t>o</w:t>
      </w:r>
      <w:r w:rsidR="00E6281E" w:rsidRPr="00591716">
        <w:rPr>
          <w:rFonts w:ascii="Calibri Light" w:hAnsi="Calibri Light" w:cs="Calibri Light"/>
          <w:sz w:val="18"/>
          <w:szCs w:val="18"/>
        </w:rPr>
        <w:t>s</w:t>
      </w:r>
      <w:r w:rsidR="00651B34" w:rsidRPr="00591716">
        <w:rPr>
          <w:rFonts w:ascii="Calibri Light" w:hAnsi="Calibri Light" w:cs="Calibri Light"/>
          <w:sz w:val="18"/>
          <w:szCs w:val="18"/>
        </w:rPr>
        <w:t xml:space="preserve"> cuales</w:t>
      </w:r>
      <w:r w:rsidR="00E6281E" w:rsidRPr="00591716">
        <w:rPr>
          <w:rFonts w:ascii="Calibri Light" w:hAnsi="Calibri Light" w:cs="Calibri Light"/>
          <w:sz w:val="18"/>
          <w:szCs w:val="18"/>
        </w:rPr>
        <w:t xml:space="preserve"> </w:t>
      </w:r>
      <w:r w:rsidR="00E6281E" w:rsidRPr="00591716">
        <w:rPr>
          <w:rFonts w:ascii="Calibri Light" w:hAnsi="Calibri Light" w:cs="Calibri Light"/>
          <w:b/>
          <w:bCs/>
          <w:sz w:val="20"/>
          <w:szCs w:val="20"/>
        </w:rPr>
        <w:t>10</w:t>
      </w:r>
      <w:r w:rsidR="00E6281E" w:rsidRPr="00591716">
        <w:rPr>
          <w:rFonts w:ascii="Calibri Light" w:hAnsi="Calibri Light" w:cs="Calibri Light"/>
          <w:sz w:val="18"/>
          <w:szCs w:val="18"/>
        </w:rPr>
        <w:t xml:space="preserve"> han esta</w:t>
      </w:r>
      <w:r w:rsidR="00651B34" w:rsidRPr="00591716">
        <w:rPr>
          <w:rFonts w:ascii="Calibri Light" w:hAnsi="Calibri Light" w:cs="Calibri Light"/>
          <w:sz w:val="18"/>
          <w:szCs w:val="18"/>
        </w:rPr>
        <w:t>do</w:t>
      </w:r>
      <w:r w:rsidR="00E6281E" w:rsidRPr="00591716">
        <w:rPr>
          <w:rFonts w:ascii="Calibri Light" w:hAnsi="Calibri Light" w:cs="Calibri Light"/>
          <w:sz w:val="18"/>
          <w:szCs w:val="18"/>
        </w:rPr>
        <w:t xml:space="preserve"> expedient</w:t>
      </w:r>
      <w:r w:rsidR="00651B34" w:rsidRPr="00591716">
        <w:rPr>
          <w:rFonts w:ascii="Calibri Light" w:hAnsi="Calibri Light" w:cs="Calibri Light"/>
          <w:sz w:val="18"/>
          <w:szCs w:val="18"/>
        </w:rPr>
        <w:t>e</w:t>
      </w:r>
      <w:r w:rsidR="00E6281E" w:rsidRPr="00591716">
        <w:rPr>
          <w:rFonts w:ascii="Calibri Light" w:hAnsi="Calibri Light" w:cs="Calibri Light"/>
          <w:sz w:val="18"/>
          <w:szCs w:val="18"/>
        </w:rPr>
        <w:t>s MASC</w:t>
      </w:r>
      <w:r w:rsidR="0031555B" w:rsidRPr="00591716">
        <w:rPr>
          <w:rFonts w:ascii="Calibri Light" w:hAnsi="Calibri Light" w:cs="Calibri Light"/>
          <w:sz w:val="18"/>
          <w:szCs w:val="18"/>
        </w:rPr>
        <w:t>.</w:t>
      </w:r>
    </w:p>
    <w:p w14:paraId="2D58102B" w14:textId="51F71474" w:rsidR="0031555B" w:rsidRPr="00591716" w:rsidRDefault="0031555B" w:rsidP="00E6281E">
      <w:pPr>
        <w:jc w:val="center"/>
        <w:rPr>
          <w:rFonts w:ascii="Calibri Light" w:hAnsi="Calibri Light" w:cs="Calibri Light"/>
          <w:sz w:val="18"/>
          <w:szCs w:val="18"/>
        </w:rPr>
      </w:pPr>
      <w:r w:rsidRPr="00591716">
        <w:rPr>
          <w:rFonts w:ascii="Calibri Light" w:hAnsi="Calibri Light" w:cs="Calibri Light"/>
          <w:sz w:val="18"/>
          <w:szCs w:val="18"/>
        </w:rPr>
        <w:t>S</w:t>
      </w:r>
      <w:r w:rsidR="00651B34" w:rsidRPr="00591716">
        <w:rPr>
          <w:rFonts w:ascii="Calibri Light" w:hAnsi="Calibri Light" w:cs="Calibri Light"/>
          <w:sz w:val="18"/>
          <w:szCs w:val="18"/>
        </w:rPr>
        <w:t xml:space="preserve">e </w:t>
      </w:r>
      <w:r w:rsidRPr="00591716">
        <w:rPr>
          <w:rFonts w:ascii="Calibri Light" w:hAnsi="Calibri Light" w:cs="Calibri Light"/>
          <w:sz w:val="18"/>
          <w:szCs w:val="18"/>
        </w:rPr>
        <w:t xml:space="preserve">ha </w:t>
      </w:r>
      <w:r w:rsidR="00651B34" w:rsidRPr="00591716">
        <w:rPr>
          <w:rFonts w:ascii="Calibri Light" w:hAnsi="Calibri Light" w:cs="Calibri Light"/>
          <w:sz w:val="18"/>
          <w:szCs w:val="18"/>
        </w:rPr>
        <w:t>llevado a cabo</w:t>
      </w:r>
      <w:r w:rsidRPr="00591716">
        <w:rPr>
          <w:rFonts w:ascii="Calibri Light" w:hAnsi="Calibri Light" w:cs="Calibri Light"/>
          <w:sz w:val="18"/>
          <w:szCs w:val="18"/>
        </w:rPr>
        <w:t xml:space="preserve"> </w:t>
      </w:r>
      <w:r w:rsidRPr="00591716">
        <w:rPr>
          <w:rFonts w:ascii="Calibri Light" w:hAnsi="Calibri Light" w:cs="Calibri Light"/>
          <w:b/>
          <w:bCs/>
          <w:sz w:val="20"/>
          <w:szCs w:val="20"/>
        </w:rPr>
        <w:t xml:space="preserve">2 </w:t>
      </w:r>
      <w:r w:rsidRPr="00591716">
        <w:rPr>
          <w:rFonts w:ascii="Calibri Light" w:hAnsi="Calibri Light" w:cs="Calibri Light"/>
          <w:sz w:val="18"/>
          <w:szCs w:val="18"/>
        </w:rPr>
        <w:t>arbitra</w:t>
      </w:r>
      <w:r w:rsidR="00651B34" w:rsidRPr="00591716">
        <w:rPr>
          <w:rFonts w:ascii="Calibri Light" w:hAnsi="Calibri Light" w:cs="Calibri Light"/>
          <w:sz w:val="18"/>
          <w:szCs w:val="18"/>
        </w:rPr>
        <w:t xml:space="preserve">jes </w:t>
      </w:r>
      <w:r w:rsidRPr="00591716">
        <w:rPr>
          <w:rFonts w:ascii="Calibri Light" w:hAnsi="Calibri Light" w:cs="Calibri Light"/>
          <w:sz w:val="18"/>
          <w:szCs w:val="18"/>
        </w:rPr>
        <w:t>d</w:t>
      </w:r>
      <w:r w:rsidR="00651B34" w:rsidRPr="00591716">
        <w:rPr>
          <w:rFonts w:ascii="Calibri Light" w:hAnsi="Calibri Light" w:cs="Calibri Light"/>
          <w:sz w:val="18"/>
          <w:szCs w:val="18"/>
        </w:rPr>
        <w:t xml:space="preserve">e </w:t>
      </w:r>
      <w:r w:rsidRPr="00591716">
        <w:rPr>
          <w:rFonts w:ascii="Calibri Light" w:hAnsi="Calibri Light" w:cs="Calibri Light"/>
          <w:sz w:val="18"/>
          <w:szCs w:val="18"/>
        </w:rPr>
        <w:t>emerg</w:t>
      </w:r>
      <w:r w:rsidR="00651B34" w:rsidRPr="00591716">
        <w:rPr>
          <w:rFonts w:ascii="Calibri Light" w:hAnsi="Calibri Light" w:cs="Calibri Light"/>
          <w:sz w:val="18"/>
          <w:szCs w:val="18"/>
        </w:rPr>
        <w:t>e</w:t>
      </w:r>
      <w:r w:rsidRPr="00591716">
        <w:rPr>
          <w:rFonts w:ascii="Calibri Light" w:hAnsi="Calibri Light" w:cs="Calibri Light"/>
          <w:sz w:val="18"/>
          <w:szCs w:val="18"/>
        </w:rPr>
        <w:t>ncia.</w:t>
      </w:r>
    </w:p>
    <w:p w14:paraId="488B123F" w14:textId="77777777" w:rsidR="00EF4AF2" w:rsidRPr="00591716" w:rsidRDefault="00EF4AF2" w:rsidP="00BF384F">
      <w:pPr>
        <w:jc w:val="right"/>
      </w:pPr>
    </w:p>
    <w:p w14:paraId="53AF9319" w14:textId="77777777" w:rsidR="00EF4AF2" w:rsidRPr="00591716" w:rsidRDefault="00EF4AF2" w:rsidP="00BF384F">
      <w:pPr>
        <w:jc w:val="right"/>
      </w:pPr>
    </w:p>
    <w:p w14:paraId="5A7E0623" w14:textId="4BE901AC" w:rsidR="000E3B62" w:rsidRPr="00591716" w:rsidRDefault="007F0E27" w:rsidP="00BF384F">
      <w:pPr>
        <w:jc w:val="right"/>
      </w:pPr>
      <w:r w:rsidRPr="00591716">
        <w:rPr>
          <w:noProof/>
        </w:rPr>
        <w:drawing>
          <wp:anchor distT="0" distB="0" distL="114300" distR="114300" simplePos="0" relativeHeight="251658240" behindDoc="1" locked="0" layoutInCell="1" allowOverlap="1" wp14:anchorId="3390E4BC" wp14:editId="57CFD5C1">
            <wp:simplePos x="0" y="0"/>
            <wp:positionH relativeFrom="column">
              <wp:posOffset>2503805</wp:posOffset>
            </wp:positionH>
            <wp:positionV relativeFrom="paragraph">
              <wp:posOffset>288925</wp:posOffset>
            </wp:positionV>
            <wp:extent cx="4509770" cy="2741295"/>
            <wp:effectExtent l="0" t="0" r="5080" b="1905"/>
            <wp:wrapTight wrapText="bothSides">
              <wp:wrapPolygon edited="0">
                <wp:start x="0" y="0"/>
                <wp:lineTo x="0" y="21465"/>
                <wp:lineTo x="21533" y="21465"/>
                <wp:lineTo x="21533" y="0"/>
                <wp:lineTo x="0" y="0"/>
              </wp:wrapPolygon>
            </wp:wrapTight>
            <wp:docPr id="766469680" name="Gráfico 1">
              <a:extLst xmlns:a="http://schemas.openxmlformats.org/drawingml/2006/main">
                <a:ext uri="{FF2B5EF4-FFF2-40B4-BE49-F238E27FC236}">
                  <a16:creationId xmlns:a16="http://schemas.microsoft.com/office/drawing/2014/main" id="{344D4E36-CE3D-4232-BD7B-B04E8996DE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324B21D6" w14:textId="321ADEFB" w:rsidR="00BF384F" w:rsidRPr="00591716" w:rsidRDefault="00BF384F" w:rsidP="00BF384F">
      <w:pPr>
        <w:jc w:val="right"/>
      </w:pPr>
    </w:p>
    <w:p w14:paraId="3640123C" w14:textId="77777777" w:rsidR="000E3B62" w:rsidRPr="00591716" w:rsidRDefault="000E3B62" w:rsidP="000E3B62">
      <w:pPr>
        <w:jc w:val="center"/>
        <w:rPr>
          <w:rFonts w:ascii="Calibri Light" w:hAnsi="Calibri Light" w:cs="Calibri Light"/>
          <w:sz w:val="18"/>
          <w:szCs w:val="18"/>
        </w:rPr>
      </w:pPr>
    </w:p>
    <w:p w14:paraId="0D97054F" w14:textId="14D8939D" w:rsidR="00EF4AF2" w:rsidRPr="00591716" w:rsidRDefault="00651B34" w:rsidP="001579B0">
      <w:pPr>
        <w:jc w:val="center"/>
        <w:rPr>
          <w:rFonts w:ascii="Calibri Light" w:hAnsi="Calibri Light" w:cs="Calibri Light"/>
          <w:b/>
          <w:bCs/>
          <w:sz w:val="28"/>
          <w:szCs w:val="28"/>
        </w:rPr>
      </w:pPr>
      <w:r w:rsidRPr="00591716">
        <w:rPr>
          <w:rFonts w:ascii="Calibri Light" w:hAnsi="Calibri Light" w:cs="Calibri Light"/>
          <w:sz w:val="18"/>
          <w:szCs w:val="18"/>
        </w:rPr>
        <w:t>En cuanto a las materias objeto del arbitraje se mantiene la tendencia de los últimos años siendo el derecho societario el objeto del arbitraje que tiene el mayor porcentaje. Igualmente destacan los contratos de colaboración y los contratos de prestación de servicios profesionales y mercantiles. Se tiene que poner de re</w:t>
      </w:r>
      <w:r w:rsidR="00ED7C87" w:rsidRPr="00591716">
        <w:rPr>
          <w:rFonts w:ascii="Calibri Light" w:hAnsi="Calibri Light" w:cs="Calibri Light"/>
          <w:sz w:val="18"/>
          <w:szCs w:val="18"/>
        </w:rPr>
        <w:t>lieve</w:t>
      </w:r>
      <w:r w:rsidRPr="00591716">
        <w:rPr>
          <w:rFonts w:ascii="Calibri Light" w:hAnsi="Calibri Light" w:cs="Calibri Light"/>
          <w:sz w:val="18"/>
          <w:szCs w:val="18"/>
        </w:rPr>
        <w:t xml:space="preserve"> el aumento de los arbitrajes </w:t>
      </w:r>
      <w:r w:rsidR="00ED7C87" w:rsidRPr="00591716">
        <w:rPr>
          <w:rFonts w:ascii="Calibri Light" w:hAnsi="Calibri Light" w:cs="Calibri Light"/>
          <w:sz w:val="18"/>
          <w:szCs w:val="18"/>
        </w:rPr>
        <w:t>que tienen por objeto</w:t>
      </w:r>
      <w:r w:rsidRPr="00591716">
        <w:rPr>
          <w:rFonts w:ascii="Calibri Light" w:hAnsi="Calibri Light" w:cs="Calibri Light"/>
          <w:sz w:val="18"/>
          <w:szCs w:val="18"/>
        </w:rPr>
        <w:t xml:space="preserve"> el derecho de daños y responsabilidad civil y seguros.</w:t>
      </w:r>
    </w:p>
    <w:p w14:paraId="7D0B3B86" w14:textId="77777777" w:rsidR="00EF4AF2" w:rsidRPr="00591716" w:rsidRDefault="00EF4AF2" w:rsidP="001579B0">
      <w:pPr>
        <w:jc w:val="center"/>
        <w:rPr>
          <w:rFonts w:ascii="Calibri Light" w:hAnsi="Calibri Light" w:cs="Calibri Light"/>
          <w:b/>
          <w:bCs/>
          <w:sz w:val="28"/>
          <w:szCs w:val="28"/>
        </w:rPr>
      </w:pPr>
    </w:p>
    <w:p w14:paraId="1113FDCE" w14:textId="77777777" w:rsidR="007F0E27" w:rsidRPr="00591716" w:rsidRDefault="007F0E27" w:rsidP="001579B0">
      <w:pPr>
        <w:jc w:val="center"/>
        <w:rPr>
          <w:rFonts w:ascii="Calibri Light" w:hAnsi="Calibri Light" w:cs="Calibri Light"/>
          <w:b/>
          <w:bCs/>
          <w:sz w:val="20"/>
          <w:szCs w:val="20"/>
        </w:rPr>
      </w:pPr>
    </w:p>
    <w:p w14:paraId="543F2019" w14:textId="41769BCD" w:rsidR="00A1224E" w:rsidRPr="00591716" w:rsidRDefault="00F16E5C" w:rsidP="00A1224E">
      <w:pPr>
        <w:jc w:val="center"/>
        <w:rPr>
          <w:rFonts w:ascii="Calibri Light" w:hAnsi="Calibri Light" w:cs="Calibri Light"/>
          <w:sz w:val="18"/>
          <w:szCs w:val="18"/>
        </w:rPr>
      </w:pPr>
      <w:r w:rsidRPr="00591716">
        <w:rPr>
          <w:rFonts w:ascii="Calibri Light" w:hAnsi="Calibri Light" w:cs="Calibri Light"/>
          <w:b/>
          <w:bCs/>
          <w:sz w:val="28"/>
          <w:szCs w:val="28"/>
        </w:rPr>
        <w:t>C</w:t>
      </w:r>
      <w:r w:rsidR="001579B0" w:rsidRPr="00591716">
        <w:rPr>
          <w:rFonts w:ascii="Calibri Light" w:hAnsi="Calibri Light" w:cs="Calibri Light"/>
          <w:b/>
          <w:bCs/>
          <w:sz w:val="28"/>
          <w:szCs w:val="28"/>
        </w:rPr>
        <w:t>UANT</w:t>
      </w:r>
      <w:r w:rsidR="000358BE" w:rsidRPr="00591716">
        <w:rPr>
          <w:rFonts w:ascii="Calibri Light" w:hAnsi="Calibri Light" w:cs="Calibri Light"/>
          <w:b/>
          <w:bCs/>
          <w:sz w:val="28"/>
          <w:szCs w:val="28"/>
        </w:rPr>
        <w:t>ÍA</w:t>
      </w:r>
      <w:r w:rsidR="001579B0" w:rsidRPr="00591716">
        <w:rPr>
          <w:rFonts w:ascii="Calibri Light" w:hAnsi="Calibri Light" w:cs="Calibri Light"/>
          <w:b/>
          <w:bCs/>
          <w:sz w:val="28"/>
          <w:szCs w:val="28"/>
        </w:rPr>
        <w:t>S</w:t>
      </w:r>
      <w:r w:rsidR="00697FB4" w:rsidRPr="00591716">
        <w:rPr>
          <w:noProof/>
          <w:sz w:val="18"/>
          <w:szCs w:val="18"/>
        </w:rPr>
        <w:drawing>
          <wp:inline distT="0" distB="0" distL="0" distR="0" wp14:anchorId="2E40EAC6" wp14:editId="55053CB7">
            <wp:extent cx="6782435" cy="2012608"/>
            <wp:effectExtent l="0" t="0" r="0" b="6985"/>
            <wp:docPr id="1348622673" name="Gráfico 1">
              <a:extLst xmlns:a="http://schemas.openxmlformats.org/drawingml/2006/main">
                <a:ext uri="{FF2B5EF4-FFF2-40B4-BE49-F238E27FC236}">
                  <a16:creationId xmlns:a16="http://schemas.microsoft.com/office/drawing/2014/main" id="{4E5E4C56-AF59-AB29-E70F-3D07BD748D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9E5FD2" w:rsidRPr="00591716">
        <w:rPr>
          <w:rFonts w:ascii="Calibri Light" w:hAnsi="Calibri Light" w:cs="Calibri Light"/>
          <w:sz w:val="18"/>
          <w:szCs w:val="18"/>
        </w:rPr>
        <w:t xml:space="preserve">Destacamos la cuantía máxima de los expedientes de este año que ha supuesto la suma de 7.398.562,81€ y una cuantía mínima </w:t>
      </w:r>
      <w:r w:rsidR="00ED7C87" w:rsidRPr="00591716">
        <w:rPr>
          <w:rFonts w:ascii="Calibri Light" w:hAnsi="Calibri Light" w:cs="Calibri Light"/>
          <w:sz w:val="18"/>
          <w:szCs w:val="18"/>
        </w:rPr>
        <w:t>que se concreta en</w:t>
      </w:r>
      <w:r w:rsidR="009E5FD2" w:rsidRPr="00591716">
        <w:rPr>
          <w:rFonts w:ascii="Calibri Light" w:hAnsi="Calibri Light" w:cs="Calibri Light"/>
          <w:sz w:val="18"/>
          <w:szCs w:val="18"/>
        </w:rPr>
        <w:t xml:space="preserve"> la suma de 2.995,68.€. Este año la cuantía máxima se ha reducido, si bien en cuanto a la cuantía total ha supuesto un aumento de 4.071.841,64€. </w:t>
      </w:r>
      <w:proofErr w:type="gramStart"/>
      <w:r w:rsidR="009E5FD2" w:rsidRPr="00591716">
        <w:rPr>
          <w:rFonts w:ascii="Calibri Light" w:hAnsi="Calibri Light" w:cs="Calibri Light"/>
          <w:sz w:val="18"/>
          <w:szCs w:val="18"/>
        </w:rPr>
        <w:t>En relación a</w:t>
      </w:r>
      <w:proofErr w:type="gramEnd"/>
      <w:r w:rsidR="009E5FD2" w:rsidRPr="00591716">
        <w:rPr>
          <w:rFonts w:ascii="Calibri Light" w:hAnsi="Calibri Light" w:cs="Calibri Light"/>
          <w:sz w:val="18"/>
          <w:szCs w:val="18"/>
        </w:rPr>
        <w:t xml:space="preserve"> los arbitrajes de pequeña cuantía, se han aumentado los honorarios mínimos que tiene que percibir el árbitro atendido el estado del fondo de solidaridad.</w:t>
      </w:r>
    </w:p>
    <w:p w14:paraId="7C96D1C3" w14:textId="77777777" w:rsidR="00D403E4" w:rsidRDefault="00D403E4" w:rsidP="00A1224E">
      <w:pPr>
        <w:jc w:val="center"/>
        <w:rPr>
          <w:rFonts w:ascii="Calibri Light" w:hAnsi="Calibri Light" w:cs="Calibri Light"/>
          <w:b/>
          <w:bCs/>
          <w:sz w:val="28"/>
          <w:szCs w:val="28"/>
        </w:rPr>
      </w:pPr>
    </w:p>
    <w:p w14:paraId="54F763BF" w14:textId="77777777" w:rsidR="00D403E4" w:rsidRDefault="00D403E4" w:rsidP="00A1224E">
      <w:pPr>
        <w:jc w:val="center"/>
        <w:rPr>
          <w:rFonts w:ascii="Calibri Light" w:hAnsi="Calibri Light" w:cs="Calibri Light"/>
          <w:b/>
          <w:bCs/>
          <w:sz w:val="28"/>
          <w:szCs w:val="28"/>
        </w:rPr>
      </w:pPr>
    </w:p>
    <w:p w14:paraId="7AECE379" w14:textId="40FA14A9" w:rsidR="00DD0C1B" w:rsidRPr="00591716" w:rsidRDefault="00D92200" w:rsidP="00A1224E">
      <w:pPr>
        <w:jc w:val="center"/>
        <w:rPr>
          <w:rFonts w:ascii="Calibri Light" w:hAnsi="Calibri Light" w:cs="Calibri Light"/>
          <w:sz w:val="18"/>
          <w:szCs w:val="18"/>
        </w:rPr>
      </w:pPr>
      <w:r w:rsidRPr="00591716">
        <w:rPr>
          <w:rFonts w:ascii="Calibri Light" w:hAnsi="Calibri Light" w:cs="Calibri Light"/>
          <w:b/>
          <w:bCs/>
          <w:sz w:val="28"/>
          <w:szCs w:val="28"/>
        </w:rPr>
        <w:lastRenderedPageBreak/>
        <w:t>TRAM</w:t>
      </w:r>
      <w:r w:rsidR="009E5FD2" w:rsidRPr="00591716">
        <w:rPr>
          <w:rFonts w:ascii="Calibri Light" w:hAnsi="Calibri Light" w:cs="Calibri Light"/>
          <w:b/>
          <w:bCs/>
          <w:sz w:val="28"/>
          <w:szCs w:val="28"/>
        </w:rPr>
        <w:t>O</w:t>
      </w:r>
      <w:r w:rsidRPr="00591716">
        <w:rPr>
          <w:rFonts w:ascii="Calibri Light" w:hAnsi="Calibri Light" w:cs="Calibri Light"/>
          <w:b/>
          <w:bCs/>
          <w:sz w:val="28"/>
          <w:szCs w:val="28"/>
        </w:rPr>
        <w:t xml:space="preserve">S DE </w:t>
      </w:r>
      <w:r w:rsidR="009E5FD2" w:rsidRPr="00591716">
        <w:rPr>
          <w:rFonts w:ascii="Calibri Light" w:hAnsi="Calibri Light" w:cs="Calibri Light"/>
          <w:b/>
          <w:bCs/>
          <w:sz w:val="28"/>
          <w:szCs w:val="28"/>
        </w:rPr>
        <w:t>C</w:t>
      </w:r>
      <w:r w:rsidRPr="00591716">
        <w:rPr>
          <w:rFonts w:ascii="Calibri Light" w:hAnsi="Calibri Light" w:cs="Calibri Light"/>
          <w:b/>
          <w:bCs/>
          <w:sz w:val="28"/>
          <w:szCs w:val="28"/>
        </w:rPr>
        <w:t>UANT</w:t>
      </w:r>
      <w:r w:rsidR="009E5FD2" w:rsidRPr="00591716">
        <w:rPr>
          <w:rFonts w:ascii="Calibri Light" w:hAnsi="Calibri Light" w:cs="Calibri Light"/>
          <w:b/>
          <w:bCs/>
          <w:sz w:val="28"/>
          <w:szCs w:val="28"/>
        </w:rPr>
        <w:t>Í</w:t>
      </w:r>
      <w:r w:rsidRPr="00591716">
        <w:rPr>
          <w:rFonts w:ascii="Calibri Light" w:hAnsi="Calibri Light" w:cs="Calibri Light"/>
          <w:b/>
          <w:bCs/>
          <w:sz w:val="28"/>
          <w:szCs w:val="28"/>
        </w:rPr>
        <w:t>A</w:t>
      </w:r>
    </w:p>
    <w:p w14:paraId="67D0DA98" w14:textId="4EE563DA" w:rsidR="009E5FD2" w:rsidRPr="00591716" w:rsidRDefault="009C17EF" w:rsidP="009E5FD2">
      <w:pPr>
        <w:jc w:val="center"/>
      </w:pPr>
      <w:r w:rsidRPr="00591716">
        <w:rPr>
          <w:noProof/>
        </w:rPr>
        <w:drawing>
          <wp:inline distT="0" distB="0" distL="0" distR="0" wp14:anchorId="1B01D9AC" wp14:editId="26031343">
            <wp:extent cx="3466531" cy="2231390"/>
            <wp:effectExtent l="0" t="0" r="635" b="0"/>
            <wp:docPr id="1816215184" name="Gráfico 1">
              <a:extLst xmlns:a="http://schemas.openxmlformats.org/drawingml/2006/main">
                <a:ext uri="{FF2B5EF4-FFF2-40B4-BE49-F238E27FC236}">
                  <a16:creationId xmlns:a16="http://schemas.microsoft.com/office/drawing/2014/main" id="{5139BF84-4CEB-63D0-7927-6522ACF619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591716">
        <w:rPr>
          <w:noProof/>
        </w:rPr>
        <w:drawing>
          <wp:inline distT="0" distB="0" distL="0" distR="0" wp14:anchorId="4ED376B4" wp14:editId="109742EB">
            <wp:extent cx="3282287" cy="2244725"/>
            <wp:effectExtent l="0" t="0" r="0" b="3175"/>
            <wp:docPr id="1845453875" name="Gráfico 1">
              <a:extLst xmlns:a="http://schemas.openxmlformats.org/drawingml/2006/main">
                <a:ext uri="{FF2B5EF4-FFF2-40B4-BE49-F238E27FC236}">
                  <a16:creationId xmlns:a16="http://schemas.microsoft.com/office/drawing/2014/main" id="{8C7544F9-E3AB-174F-C13D-8432212DCA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9E5FD2" w:rsidRPr="00591716">
        <w:rPr>
          <w:rFonts w:ascii="Calibri Light" w:hAnsi="Calibri Light" w:cs="Calibri Light"/>
          <w:sz w:val="18"/>
          <w:szCs w:val="18"/>
        </w:rPr>
        <w:t>En relación con los tramos de cuantía</w:t>
      </w:r>
      <w:r w:rsidR="00421C78" w:rsidRPr="00591716">
        <w:rPr>
          <w:rFonts w:ascii="Calibri Light" w:hAnsi="Calibri Light" w:cs="Calibri Light"/>
          <w:sz w:val="18"/>
          <w:szCs w:val="18"/>
        </w:rPr>
        <w:t>,</w:t>
      </w:r>
      <w:r w:rsidR="009E5FD2" w:rsidRPr="00591716">
        <w:rPr>
          <w:rFonts w:ascii="Calibri Light" w:hAnsi="Calibri Light" w:cs="Calibri Light"/>
          <w:sz w:val="18"/>
          <w:szCs w:val="18"/>
        </w:rPr>
        <w:t xml:space="preserve"> se mantiene la </w:t>
      </w:r>
      <w:r w:rsidR="006A3450" w:rsidRPr="00591716">
        <w:rPr>
          <w:rFonts w:ascii="Calibri Light" w:hAnsi="Calibri Light" w:cs="Calibri Light"/>
          <w:sz w:val="18"/>
          <w:szCs w:val="18"/>
        </w:rPr>
        <w:t>tendencia</w:t>
      </w:r>
      <w:r w:rsidR="00421C78" w:rsidRPr="00591716">
        <w:rPr>
          <w:rFonts w:ascii="Calibri Light" w:hAnsi="Calibri Light" w:cs="Calibri Light"/>
          <w:sz w:val="18"/>
          <w:szCs w:val="18"/>
        </w:rPr>
        <w:t>,</w:t>
      </w:r>
      <w:r w:rsidR="009E5FD2" w:rsidRPr="00591716">
        <w:rPr>
          <w:rFonts w:ascii="Calibri Light" w:hAnsi="Calibri Light" w:cs="Calibri Light"/>
          <w:sz w:val="18"/>
          <w:szCs w:val="18"/>
        </w:rPr>
        <w:t xml:space="preserve"> siendo el tramo de cuantía con más porcentaje el de 180.000,00€ a 600.000,00€, que supone </w:t>
      </w:r>
      <w:r w:rsidR="00ED7C87" w:rsidRPr="00591716">
        <w:rPr>
          <w:rFonts w:ascii="Calibri Light" w:hAnsi="Calibri Light" w:cs="Calibri Light"/>
          <w:sz w:val="18"/>
          <w:szCs w:val="18"/>
        </w:rPr>
        <w:t>casi</w:t>
      </w:r>
      <w:r w:rsidR="009E5FD2" w:rsidRPr="00591716">
        <w:rPr>
          <w:rFonts w:ascii="Calibri Light" w:hAnsi="Calibri Light" w:cs="Calibri Light"/>
          <w:sz w:val="18"/>
          <w:szCs w:val="18"/>
        </w:rPr>
        <w:t xml:space="preserve"> la mitad de los expedientes en curso. Se destaca un aumento de los expedientes </w:t>
      </w:r>
      <w:r w:rsidR="00ED7C87" w:rsidRPr="00591716">
        <w:rPr>
          <w:rFonts w:ascii="Calibri Light" w:hAnsi="Calibri Light" w:cs="Calibri Light"/>
          <w:sz w:val="18"/>
          <w:szCs w:val="18"/>
        </w:rPr>
        <w:t>cuya</w:t>
      </w:r>
      <w:r w:rsidR="009E5FD2" w:rsidRPr="00591716">
        <w:rPr>
          <w:rFonts w:ascii="Calibri Light" w:hAnsi="Calibri Light" w:cs="Calibri Light"/>
          <w:sz w:val="18"/>
          <w:szCs w:val="18"/>
        </w:rPr>
        <w:t xml:space="preserve"> cuantía </w:t>
      </w:r>
      <w:r w:rsidR="00ED7C87" w:rsidRPr="00591716">
        <w:rPr>
          <w:rFonts w:ascii="Calibri Light" w:hAnsi="Calibri Light" w:cs="Calibri Light"/>
          <w:sz w:val="18"/>
          <w:szCs w:val="18"/>
        </w:rPr>
        <w:t xml:space="preserve">es </w:t>
      </w:r>
      <w:r w:rsidR="009E5FD2" w:rsidRPr="00591716">
        <w:rPr>
          <w:rFonts w:ascii="Calibri Light" w:hAnsi="Calibri Light" w:cs="Calibri Light"/>
          <w:sz w:val="18"/>
          <w:szCs w:val="18"/>
        </w:rPr>
        <w:t>superior a 1.500.00,00€ que ha pasado del 5% en 2024 al 13% en 2025.</w:t>
      </w:r>
    </w:p>
    <w:p w14:paraId="74273B19" w14:textId="1DEB52B6" w:rsidR="003243AD" w:rsidRPr="00591716" w:rsidRDefault="003243AD" w:rsidP="00DC3281">
      <w:pPr>
        <w:jc w:val="center"/>
        <w:rPr>
          <w:rFonts w:ascii="Calibri Light" w:hAnsi="Calibri Light" w:cs="Calibri Light"/>
          <w:b/>
          <w:bCs/>
          <w:sz w:val="12"/>
          <w:szCs w:val="12"/>
        </w:rPr>
      </w:pPr>
      <w:r w:rsidRPr="00591716">
        <w:rPr>
          <w:rFonts w:ascii="Calibri Light" w:hAnsi="Calibri Light" w:cs="Calibri Light"/>
          <w:b/>
          <w:bCs/>
          <w:sz w:val="28"/>
          <w:szCs w:val="28"/>
        </w:rPr>
        <w:t>MODA</w:t>
      </w:r>
    </w:p>
    <w:p w14:paraId="20DB4E6B" w14:textId="54DF0F2C" w:rsidR="009E5FD2" w:rsidRPr="00591716" w:rsidRDefault="005D12E1" w:rsidP="009E5FD2">
      <w:pPr>
        <w:jc w:val="center"/>
      </w:pPr>
      <w:r w:rsidRPr="00591716">
        <w:rPr>
          <w:noProof/>
        </w:rPr>
        <w:drawing>
          <wp:inline distT="0" distB="0" distL="0" distR="0" wp14:anchorId="4116431C" wp14:editId="7347473A">
            <wp:extent cx="3309582" cy="1842135"/>
            <wp:effectExtent l="0" t="0" r="5715" b="5715"/>
            <wp:docPr id="1371373461" name="Gráfico 1">
              <a:extLst xmlns:a="http://schemas.openxmlformats.org/drawingml/2006/main">
                <a:ext uri="{FF2B5EF4-FFF2-40B4-BE49-F238E27FC236}">
                  <a16:creationId xmlns:a16="http://schemas.microsoft.com/office/drawing/2014/main" id="{142D7F89-B190-586F-5729-F3D4F83904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62E30" w:rsidRPr="00591716">
        <w:rPr>
          <w:noProof/>
        </w:rPr>
        <w:drawing>
          <wp:inline distT="0" distB="0" distL="0" distR="0" wp14:anchorId="1CBBA453" wp14:editId="171DF4DC">
            <wp:extent cx="3486150" cy="1842286"/>
            <wp:effectExtent l="0" t="0" r="0" b="5715"/>
            <wp:docPr id="309124194" name="Gráfico 1">
              <a:extLst xmlns:a="http://schemas.openxmlformats.org/drawingml/2006/main">
                <a:ext uri="{FF2B5EF4-FFF2-40B4-BE49-F238E27FC236}">
                  <a16:creationId xmlns:a16="http://schemas.microsoft.com/office/drawing/2014/main" id="{1B1B457F-DFF4-E089-F62E-3DAE9D6590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E5FD2" w:rsidRPr="00591716">
        <w:rPr>
          <w:rFonts w:ascii="Calibri Light" w:hAnsi="Calibri Light" w:cs="Calibri Light"/>
          <w:sz w:val="18"/>
          <w:szCs w:val="18"/>
        </w:rPr>
        <w:t>En cuanto a la moda respecto de los tramos de cuantía destacamos el tramo que va desde 180.001,00€ a 600.000,00€ que supone el mismo</w:t>
      </w:r>
      <w:r w:rsidR="00591716">
        <w:rPr>
          <w:rFonts w:ascii="Calibri Light" w:hAnsi="Calibri Light" w:cs="Calibri Light"/>
          <w:sz w:val="18"/>
          <w:szCs w:val="18"/>
        </w:rPr>
        <w:t xml:space="preserve"> porcentaje </w:t>
      </w:r>
      <w:r w:rsidR="009E5FD2" w:rsidRPr="00591716">
        <w:rPr>
          <w:rFonts w:ascii="Calibri Light" w:hAnsi="Calibri Light" w:cs="Calibri Light"/>
          <w:sz w:val="18"/>
          <w:szCs w:val="18"/>
        </w:rPr>
        <w:t>que el tramo que va desde 20.001,00€ a 180.001,00€.</w:t>
      </w:r>
    </w:p>
    <w:p w14:paraId="48C3035F" w14:textId="77777777" w:rsidR="00ED7C87" w:rsidRPr="00591716" w:rsidRDefault="00ED7C87" w:rsidP="00591716">
      <w:pPr>
        <w:spacing w:after="0"/>
        <w:jc w:val="center"/>
        <w:rPr>
          <w:rFonts w:ascii="Calibri Light" w:hAnsi="Calibri Light" w:cs="Calibri Light"/>
          <w:b/>
          <w:bCs/>
          <w:sz w:val="20"/>
          <w:szCs w:val="20"/>
        </w:rPr>
      </w:pPr>
    </w:p>
    <w:p w14:paraId="17E77D1F" w14:textId="5854FC33" w:rsidR="00EF6910" w:rsidRDefault="00A6717B" w:rsidP="00591716">
      <w:pPr>
        <w:spacing w:after="0"/>
        <w:jc w:val="center"/>
        <w:rPr>
          <w:rFonts w:ascii="Calibri Light" w:hAnsi="Calibri Light" w:cs="Calibri Light"/>
          <w:b/>
          <w:bCs/>
          <w:sz w:val="28"/>
          <w:szCs w:val="28"/>
        </w:rPr>
      </w:pPr>
      <w:r w:rsidRPr="00591716">
        <w:rPr>
          <w:rFonts w:ascii="Calibri Light" w:hAnsi="Calibri Light" w:cs="Calibri Light"/>
          <w:b/>
          <w:bCs/>
          <w:sz w:val="28"/>
          <w:szCs w:val="28"/>
        </w:rPr>
        <w:t>EVOLUCIÓN CUANTÍAS 2020-2025</w:t>
      </w:r>
    </w:p>
    <w:p w14:paraId="295ADD95" w14:textId="1E3C4FE2" w:rsidR="00086928" w:rsidRPr="00A6717B" w:rsidRDefault="009E5FD2" w:rsidP="00086928">
      <w:pPr>
        <w:spacing w:after="0"/>
        <w:jc w:val="center"/>
        <w:rPr>
          <w:rFonts w:ascii="Calibri Light" w:hAnsi="Calibri Light" w:cs="Calibri Light"/>
          <w:sz w:val="18"/>
          <w:szCs w:val="18"/>
        </w:rPr>
      </w:pPr>
      <w:r w:rsidRPr="00591716">
        <w:rPr>
          <w:noProof/>
        </w:rPr>
        <w:drawing>
          <wp:inline distT="0" distB="0" distL="0" distR="0" wp14:anchorId="1C62DCCB" wp14:editId="701D3DDE">
            <wp:extent cx="6841490" cy="2133600"/>
            <wp:effectExtent l="0" t="0" r="0" b="0"/>
            <wp:docPr id="1846074298" name="Gráfico 1">
              <a:extLst xmlns:a="http://schemas.openxmlformats.org/drawingml/2006/main">
                <a:ext uri="{FF2B5EF4-FFF2-40B4-BE49-F238E27FC236}">
                  <a16:creationId xmlns:a16="http://schemas.microsoft.com/office/drawing/2014/main" id="{0096D408-0E7F-7AE8-E488-6ECA98AF37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086928" w:rsidRPr="00086928">
        <w:rPr>
          <w:rFonts w:ascii="Calibri Light" w:hAnsi="Calibri Light" w:cs="Calibri Light"/>
          <w:sz w:val="18"/>
          <w:szCs w:val="18"/>
        </w:rPr>
        <w:t xml:space="preserve"> </w:t>
      </w:r>
      <w:r w:rsidR="00086928">
        <w:rPr>
          <w:rFonts w:ascii="Calibri Light" w:hAnsi="Calibri Light" w:cs="Calibri Light"/>
          <w:sz w:val="18"/>
          <w:szCs w:val="18"/>
        </w:rPr>
        <w:t xml:space="preserve">Respecto de la evolución de la cuantía de los expedientes </w:t>
      </w:r>
      <w:proofErr w:type="gramStart"/>
      <w:r w:rsidR="00086928">
        <w:rPr>
          <w:rFonts w:ascii="Calibri Light" w:hAnsi="Calibri Light" w:cs="Calibri Light"/>
          <w:sz w:val="18"/>
          <w:szCs w:val="18"/>
        </w:rPr>
        <w:t>destacar</w:t>
      </w:r>
      <w:proofErr w:type="gramEnd"/>
      <w:r w:rsidR="00086928">
        <w:rPr>
          <w:rFonts w:ascii="Calibri Light" w:hAnsi="Calibri Light" w:cs="Calibri Light"/>
          <w:sz w:val="18"/>
          <w:szCs w:val="18"/>
        </w:rPr>
        <w:t xml:space="preserve"> un importante aumento de la cuantía este año respecto de los tres últimos años siendo ésta muy cercana a la cuantía total del año 2022. </w:t>
      </w:r>
      <w:proofErr w:type="gramStart"/>
      <w:r w:rsidR="00086928">
        <w:rPr>
          <w:rFonts w:ascii="Calibri Light" w:hAnsi="Calibri Light" w:cs="Calibri Light"/>
          <w:sz w:val="18"/>
          <w:szCs w:val="18"/>
        </w:rPr>
        <w:t>Igualmente</w:t>
      </w:r>
      <w:proofErr w:type="gramEnd"/>
      <w:r w:rsidR="00086928">
        <w:rPr>
          <w:rFonts w:ascii="Calibri Light" w:hAnsi="Calibri Light" w:cs="Calibri Light"/>
          <w:sz w:val="18"/>
          <w:szCs w:val="18"/>
        </w:rPr>
        <w:t xml:space="preserve"> en el caso de la cuantía total acotada que experimenta también un aumento considerable.</w:t>
      </w:r>
    </w:p>
    <w:p w14:paraId="1B818089" w14:textId="1B4EBBC6" w:rsidR="00303899" w:rsidRPr="00591716" w:rsidRDefault="00DF4CD4" w:rsidP="00A1224E">
      <w:pPr>
        <w:jc w:val="center"/>
        <w:rPr>
          <w:rFonts w:ascii="Calibri Light" w:hAnsi="Calibri Light" w:cs="Calibri Light"/>
          <w:sz w:val="18"/>
          <w:szCs w:val="18"/>
        </w:rPr>
      </w:pPr>
      <w:r w:rsidRPr="00591716">
        <w:rPr>
          <w:noProof/>
        </w:rPr>
        <w:lastRenderedPageBreak/>
        <w:drawing>
          <wp:inline distT="0" distB="0" distL="0" distR="0" wp14:anchorId="1A267E03" wp14:editId="19AD072E">
            <wp:extent cx="6840220" cy="2400935"/>
            <wp:effectExtent l="0" t="0" r="0" b="0"/>
            <wp:docPr id="6931922" name="Gráfico 1">
              <a:extLst xmlns:a="http://schemas.openxmlformats.org/drawingml/2006/main">
                <a:ext uri="{FF2B5EF4-FFF2-40B4-BE49-F238E27FC236}">
                  <a16:creationId xmlns:a16="http://schemas.microsoft.com/office/drawing/2014/main" id="{7A9FA355-818B-F9EB-4871-A858805769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0C2EC9" w14:textId="07012FC4" w:rsidR="002C5FFC" w:rsidRPr="00591716" w:rsidRDefault="00A1224E" w:rsidP="00D92200">
      <w:pPr>
        <w:jc w:val="center"/>
        <w:rPr>
          <w:rFonts w:ascii="Calibri Light" w:hAnsi="Calibri Light" w:cs="Calibri Light"/>
          <w:b/>
          <w:bCs/>
          <w:sz w:val="20"/>
          <w:szCs w:val="20"/>
        </w:rPr>
      </w:pPr>
      <w:proofErr w:type="gramStart"/>
      <w:r w:rsidRPr="00591716">
        <w:rPr>
          <w:rFonts w:ascii="Calibri Light" w:hAnsi="Calibri Light" w:cs="Calibri Light"/>
          <w:sz w:val="18"/>
          <w:szCs w:val="18"/>
        </w:rPr>
        <w:t>En relación a</w:t>
      </w:r>
      <w:proofErr w:type="gramEnd"/>
      <w:r w:rsidRPr="00591716">
        <w:rPr>
          <w:rFonts w:ascii="Calibri Light" w:hAnsi="Calibri Light" w:cs="Calibri Light"/>
          <w:sz w:val="18"/>
          <w:szCs w:val="18"/>
        </w:rPr>
        <w:t xml:space="preserve"> la cuantía media se observa una evolución al alza desde el año 2022 que se mantiene en relación con </w:t>
      </w:r>
      <w:proofErr w:type="spellStart"/>
      <w:r w:rsidRPr="00591716">
        <w:rPr>
          <w:rFonts w:ascii="Calibri Light" w:hAnsi="Calibri Light" w:cs="Calibri Light"/>
          <w:sz w:val="18"/>
          <w:szCs w:val="18"/>
        </w:rPr>
        <w:t>a</w:t>
      </w:r>
      <w:proofErr w:type="spellEnd"/>
      <w:r w:rsidRPr="00591716">
        <w:rPr>
          <w:rFonts w:ascii="Calibri Light" w:hAnsi="Calibri Light" w:cs="Calibri Light"/>
          <w:sz w:val="18"/>
          <w:szCs w:val="18"/>
        </w:rPr>
        <w:t xml:space="preserve"> cuantía media acotada.</w:t>
      </w:r>
    </w:p>
    <w:p w14:paraId="75FCF9E2" w14:textId="77777777" w:rsidR="00EF6910" w:rsidRPr="00591716" w:rsidRDefault="00EF6910" w:rsidP="00D92200">
      <w:pPr>
        <w:jc w:val="center"/>
        <w:rPr>
          <w:rFonts w:ascii="Calibri Light" w:hAnsi="Calibri Light" w:cs="Calibri Light"/>
          <w:b/>
          <w:bCs/>
          <w:sz w:val="28"/>
          <w:szCs w:val="28"/>
        </w:rPr>
      </w:pPr>
    </w:p>
    <w:p w14:paraId="5572C3C7" w14:textId="26B7D898" w:rsidR="00D92200" w:rsidRPr="00591716" w:rsidRDefault="00D92200" w:rsidP="00D92200">
      <w:pPr>
        <w:jc w:val="center"/>
        <w:rPr>
          <w:rFonts w:ascii="Calibri Light" w:hAnsi="Calibri Light" w:cs="Calibri Light"/>
          <w:b/>
          <w:bCs/>
          <w:sz w:val="28"/>
          <w:szCs w:val="28"/>
        </w:rPr>
      </w:pPr>
      <w:r w:rsidRPr="00591716">
        <w:rPr>
          <w:rFonts w:ascii="Calibri Light" w:hAnsi="Calibri Light" w:cs="Calibri Light"/>
          <w:b/>
          <w:bCs/>
          <w:sz w:val="28"/>
          <w:szCs w:val="28"/>
        </w:rPr>
        <w:t>DURA</w:t>
      </w:r>
      <w:r w:rsidR="00A1224E" w:rsidRPr="00591716">
        <w:rPr>
          <w:rFonts w:ascii="Calibri Light" w:hAnsi="Calibri Light" w:cs="Calibri Light"/>
          <w:b/>
          <w:bCs/>
          <w:sz w:val="28"/>
          <w:szCs w:val="28"/>
        </w:rPr>
        <w:t>CIÓN</w:t>
      </w:r>
      <w:r w:rsidRPr="00591716">
        <w:rPr>
          <w:rFonts w:ascii="Calibri Light" w:hAnsi="Calibri Light" w:cs="Calibri Light"/>
          <w:b/>
          <w:bCs/>
          <w:sz w:val="28"/>
          <w:szCs w:val="28"/>
        </w:rPr>
        <w:t xml:space="preserve"> DE</w:t>
      </w:r>
      <w:r w:rsidR="00A1224E" w:rsidRPr="00591716">
        <w:rPr>
          <w:rFonts w:ascii="Calibri Light" w:hAnsi="Calibri Light" w:cs="Calibri Light"/>
          <w:b/>
          <w:bCs/>
          <w:sz w:val="28"/>
          <w:szCs w:val="28"/>
        </w:rPr>
        <w:t>L</w:t>
      </w:r>
      <w:r w:rsidRPr="00591716">
        <w:rPr>
          <w:rFonts w:ascii="Calibri Light" w:hAnsi="Calibri Light" w:cs="Calibri Light"/>
          <w:b/>
          <w:bCs/>
          <w:sz w:val="28"/>
          <w:szCs w:val="28"/>
        </w:rPr>
        <w:t xml:space="preserve"> ARBITRA</w:t>
      </w:r>
      <w:r w:rsidR="00A1224E" w:rsidRPr="00591716">
        <w:rPr>
          <w:rFonts w:ascii="Calibri Light" w:hAnsi="Calibri Light" w:cs="Calibri Light"/>
          <w:b/>
          <w:bCs/>
          <w:sz w:val="28"/>
          <w:szCs w:val="28"/>
        </w:rPr>
        <w:t>J</w:t>
      </w:r>
      <w:r w:rsidRPr="00591716">
        <w:rPr>
          <w:rFonts w:ascii="Calibri Light" w:hAnsi="Calibri Light" w:cs="Calibri Light"/>
          <w:b/>
          <w:bCs/>
          <w:sz w:val="28"/>
          <w:szCs w:val="28"/>
        </w:rPr>
        <w:t>E</w:t>
      </w:r>
    </w:p>
    <w:p w14:paraId="5B4C157A" w14:textId="77777777" w:rsidR="00FC4E2B" w:rsidRPr="00591716" w:rsidRDefault="00B46949" w:rsidP="00FC4E2B">
      <w:pPr>
        <w:jc w:val="center"/>
      </w:pPr>
      <w:r w:rsidRPr="00591716">
        <w:rPr>
          <w:noProof/>
        </w:rPr>
        <w:drawing>
          <wp:inline distT="0" distB="0" distL="0" distR="0" wp14:anchorId="5D926AAF" wp14:editId="7776E4B3">
            <wp:extent cx="6000750" cy="1612900"/>
            <wp:effectExtent l="0" t="0" r="0" b="6350"/>
            <wp:docPr id="940567402" name="Gráfico 1">
              <a:extLst xmlns:a="http://schemas.openxmlformats.org/drawingml/2006/main">
                <a:ext uri="{FF2B5EF4-FFF2-40B4-BE49-F238E27FC236}">
                  <a16:creationId xmlns:a16="http://schemas.microsoft.com/office/drawing/2014/main" id="{73A2B278-1F91-44FC-956F-DF5A69DEFB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FFAB74" w14:textId="34C654E7" w:rsidR="00B46949" w:rsidRPr="00591716" w:rsidRDefault="00FC4E2B" w:rsidP="00FC4E2B">
      <w:pPr>
        <w:jc w:val="center"/>
      </w:pPr>
      <w:r w:rsidRPr="00591716">
        <w:rPr>
          <w:rFonts w:ascii="Calibri Light" w:hAnsi="Calibri Light" w:cs="Calibri Light"/>
          <w:sz w:val="18"/>
          <w:szCs w:val="18"/>
        </w:rPr>
        <w:t>Respeto la duración del procedimiento arbitral la media acotada de la duración de los procedimientos arbitrales</w:t>
      </w:r>
      <w:r w:rsidR="00086928">
        <w:rPr>
          <w:rFonts w:ascii="Calibri Light" w:hAnsi="Calibri Light" w:cs="Calibri Light"/>
          <w:sz w:val="18"/>
          <w:szCs w:val="18"/>
        </w:rPr>
        <w:t xml:space="preserve"> laudados </w:t>
      </w:r>
      <w:r w:rsidRPr="00591716">
        <w:rPr>
          <w:rFonts w:ascii="Calibri Light" w:hAnsi="Calibri Light" w:cs="Calibri Light"/>
          <w:sz w:val="18"/>
          <w:szCs w:val="18"/>
        </w:rPr>
        <w:t xml:space="preserve">en 2025 ha esta </w:t>
      </w:r>
      <w:r w:rsidR="007A315D" w:rsidRPr="00591716">
        <w:rPr>
          <w:rFonts w:ascii="Calibri Light" w:hAnsi="Calibri Light" w:cs="Calibri Light"/>
          <w:sz w:val="18"/>
          <w:szCs w:val="18"/>
        </w:rPr>
        <w:t xml:space="preserve">de </w:t>
      </w:r>
      <w:r w:rsidR="007A315D" w:rsidRPr="00591716">
        <w:rPr>
          <w:rFonts w:ascii="Calibri Light" w:hAnsi="Calibri Light" w:cs="Calibri Light"/>
          <w:b/>
          <w:bCs/>
          <w:sz w:val="20"/>
          <w:szCs w:val="20"/>
        </w:rPr>
        <w:t>10,2</w:t>
      </w:r>
      <w:r w:rsidR="007A315D" w:rsidRPr="00591716">
        <w:rPr>
          <w:rFonts w:ascii="Calibri Light" w:hAnsi="Calibri Light" w:cs="Calibri Light"/>
          <w:sz w:val="20"/>
          <w:szCs w:val="20"/>
        </w:rPr>
        <w:t xml:space="preserve"> </w:t>
      </w:r>
      <w:r w:rsidR="007A315D" w:rsidRPr="00591716">
        <w:rPr>
          <w:rFonts w:ascii="Calibri Light" w:hAnsi="Calibri Light" w:cs="Calibri Light"/>
          <w:sz w:val="18"/>
          <w:szCs w:val="18"/>
        </w:rPr>
        <w:t>mes</w:t>
      </w:r>
      <w:r w:rsidRPr="00591716">
        <w:rPr>
          <w:rFonts w:ascii="Calibri Light" w:hAnsi="Calibri Light" w:cs="Calibri Light"/>
          <w:sz w:val="18"/>
          <w:szCs w:val="18"/>
        </w:rPr>
        <w:t>e</w:t>
      </w:r>
      <w:r w:rsidR="007A315D" w:rsidRPr="00591716">
        <w:rPr>
          <w:rFonts w:ascii="Calibri Light" w:hAnsi="Calibri Light" w:cs="Calibri Light"/>
          <w:sz w:val="18"/>
          <w:szCs w:val="18"/>
        </w:rPr>
        <w:t>s.</w:t>
      </w:r>
    </w:p>
    <w:p w14:paraId="06E055C9" w14:textId="4A91DD7B" w:rsidR="00B46949" w:rsidRPr="00591716" w:rsidRDefault="000248C1" w:rsidP="000248C1">
      <w:pPr>
        <w:ind w:firstLine="708"/>
        <w:rPr>
          <w:rFonts w:ascii="Calibri Light" w:hAnsi="Calibri Light" w:cs="Calibri Light"/>
          <w:b/>
          <w:bCs/>
          <w:sz w:val="28"/>
          <w:szCs w:val="28"/>
        </w:rPr>
      </w:pPr>
      <w:r w:rsidRPr="00591716">
        <w:rPr>
          <w:rFonts w:ascii="Calibri Light" w:hAnsi="Calibri Light" w:cs="Calibri Light"/>
          <w:b/>
          <w:bCs/>
          <w:sz w:val="28"/>
          <w:szCs w:val="28"/>
        </w:rPr>
        <w:t>PROCEDIM</w:t>
      </w:r>
      <w:r w:rsidR="00FC4E2B" w:rsidRPr="00591716">
        <w:rPr>
          <w:rFonts w:ascii="Calibri Light" w:hAnsi="Calibri Light" w:cs="Calibri Light"/>
          <w:b/>
          <w:bCs/>
          <w:sz w:val="28"/>
          <w:szCs w:val="28"/>
        </w:rPr>
        <w:t>I</w:t>
      </w:r>
      <w:r w:rsidRPr="00591716">
        <w:rPr>
          <w:rFonts w:ascii="Calibri Light" w:hAnsi="Calibri Light" w:cs="Calibri Light"/>
          <w:b/>
          <w:bCs/>
          <w:sz w:val="28"/>
          <w:szCs w:val="28"/>
        </w:rPr>
        <w:t>ENT</w:t>
      </w:r>
      <w:r w:rsidR="00FC4E2B" w:rsidRPr="00591716">
        <w:rPr>
          <w:rFonts w:ascii="Calibri Light" w:hAnsi="Calibri Light" w:cs="Calibri Light"/>
          <w:b/>
          <w:bCs/>
          <w:sz w:val="28"/>
          <w:szCs w:val="28"/>
        </w:rPr>
        <w:t>O</w:t>
      </w:r>
      <w:r w:rsidRPr="00591716">
        <w:rPr>
          <w:rFonts w:ascii="Calibri Light" w:hAnsi="Calibri Light" w:cs="Calibri Light"/>
          <w:b/>
          <w:bCs/>
          <w:sz w:val="28"/>
          <w:szCs w:val="28"/>
        </w:rPr>
        <w:t xml:space="preserve"> ORDINARI</w:t>
      </w:r>
      <w:r w:rsidR="00FC4E2B" w:rsidRPr="00591716">
        <w:rPr>
          <w:rFonts w:ascii="Calibri Light" w:hAnsi="Calibri Light" w:cs="Calibri Light"/>
          <w:b/>
          <w:bCs/>
          <w:sz w:val="28"/>
          <w:szCs w:val="28"/>
        </w:rPr>
        <w:t>O</w:t>
      </w:r>
      <w:r w:rsidRPr="00591716">
        <w:rPr>
          <w:rFonts w:ascii="Calibri Light" w:hAnsi="Calibri Light" w:cs="Calibri Light"/>
          <w:b/>
          <w:bCs/>
          <w:sz w:val="28"/>
          <w:szCs w:val="28"/>
        </w:rPr>
        <w:tab/>
      </w:r>
      <w:r w:rsidRPr="00591716">
        <w:rPr>
          <w:rFonts w:ascii="Calibri Light" w:hAnsi="Calibri Light" w:cs="Calibri Light"/>
          <w:b/>
          <w:bCs/>
          <w:sz w:val="28"/>
          <w:szCs w:val="28"/>
        </w:rPr>
        <w:tab/>
      </w:r>
      <w:r w:rsidRPr="00591716">
        <w:rPr>
          <w:rFonts w:ascii="Calibri Light" w:hAnsi="Calibri Light" w:cs="Calibri Light"/>
          <w:b/>
          <w:bCs/>
          <w:sz w:val="28"/>
          <w:szCs w:val="28"/>
        </w:rPr>
        <w:tab/>
      </w:r>
      <w:r w:rsidRPr="00591716">
        <w:rPr>
          <w:rFonts w:ascii="Calibri Light" w:hAnsi="Calibri Light" w:cs="Calibri Light"/>
          <w:b/>
          <w:bCs/>
          <w:sz w:val="28"/>
          <w:szCs w:val="28"/>
        </w:rPr>
        <w:tab/>
        <w:t>PROCEDIM</w:t>
      </w:r>
      <w:r w:rsidR="00FC4E2B" w:rsidRPr="00591716">
        <w:rPr>
          <w:rFonts w:ascii="Calibri Light" w:hAnsi="Calibri Light" w:cs="Calibri Light"/>
          <w:b/>
          <w:bCs/>
          <w:sz w:val="28"/>
          <w:szCs w:val="28"/>
        </w:rPr>
        <w:t>I</w:t>
      </w:r>
      <w:r w:rsidRPr="00591716">
        <w:rPr>
          <w:rFonts w:ascii="Calibri Light" w:hAnsi="Calibri Light" w:cs="Calibri Light"/>
          <w:b/>
          <w:bCs/>
          <w:sz w:val="28"/>
          <w:szCs w:val="28"/>
        </w:rPr>
        <w:t>ENT</w:t>
      </w:r>
      <w:r w:rsidR="00FC4E2B" w:rsidRPr="00591716">
        <w:rPr>
          <w:rFonts w:ascii="Calibri Light" w:hAnsi="Calibri Light" w:cs="Calibri Light"/>
          <w:b/>
          <w:bCs/>
          <w:sz w:val="28"/>
          <w:szCs w:val="28"/>
        </w:rPr>
        <w:t>O</w:t>
      </w:r>
      <w:r w:rsidRPr="00591716">
        <w:rPr>
          <w:rFonts w:ascii="Calibri Light" w:hAnsi="Calibri Light" w:cs="Calibri Light"/>
          <w:b/>
          <w:bCs/>
          <w:sz w:val="28"/>
          <w:szCs w:val="28"/>
        </w:rPr>
        <w:t xml:space="preserve"> ABRE</w:t>
      </w:r>
      <w:r w:rsidR="00FC4E2B" w:rsidRPr="00591716">
        <w:rPr>
          <w:rFonts w:ascii="Calibri Light" w:hAnsi="Calibri Light" w:cs="Calibri Light"/>
          <w:b/>
          <w:bCs/>
          <w:sz w:val="28"/>
          <w:szCs w:val="28"/>
        </w:rPr>
        <w:t>VIADO</w:t>
      </w:r>
      <w:r w:rsidR="00FE201F" w:rsidRPr="00591716">
        <w:rPr>
          <w:rStyle w:val="Refdenotaalpie"/>
          <w:rFonts w:ascii="Calibri Light" w:hAnsi="Calibri Light" w:cs="Calibri Light"/>
          <w:b/>
          <w:bCs/>
          <w:sz w:val="28"/>
          <w:szCs w:val="28"/>
        </w:rPr>
        <w:footnoteReference w:id="1"/>
      </w:r>
    </w:p>
    <w:p w14:paraId="43A9ED39" w14:textId="68F883B7" w:rsidR="00B46949" w:rsidRPr="00591716" w:rsidRDefault="00FB5919" w:rsidP="000248C1">
      <w:r w:rsidRPr="00591716">
        <w:rPr>
          <w:noProof/>
        </w:rPr>
        <w:drawing>
          <wp:inline distT="0" distB="0" distL="0" distR="0" wp14:anchorId="2C551E45" wp14:editId="7CC53569">
            <wp:extent cx="3342462" cy="2058670"/>
            <wp:effectExtent l="0" t="0" r="0" b="0"/>
            <wp:docPr id="477002143" name="Gráfico 1">
              <a:extLst xmlns:a="http://schemas.openxmlformats.org/drawingml/2006/main">
                <a:ext uri="{FF2B5EF4-FFF2-40B4-BE49-F238E27FC236}">
                  <a16:creationId xmlns:a16="http://schemas.microsoft.com/office/drawing/2014/main" id="{A2E7C65A-DFB7-5B9E-E078-CB2A39E746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591716">
        <w:rPr>
          <w:noProof/>
        </w:rPr>
        <w:drawing>
          <wp:inline distT="0" distB="0" distL="0" distR="0" wp14:anchorId="20E204BC" wp14:editId="6678B367">
            <wp:extent cx="3456305" cy="1872946"/>
            <wp:effectExtent l="0" t="0" r="0" b="0"/>
            <wp:docPr id="1462010841" name="Gráfico 1">
              <a:extLst xmlns:a="http://schemas.openxmlformats.org/drawingml/2006/main">
                <a:ext uri="{FF2B5EF4-FFF2-40B4-BE49-F238E27FC236}">
                  <a16:creationId xmlns:a16="http://schemas.microsoft.com/office/drawing/2014/main" id="{01C91CE7-4DF6-BD16-0969-7C3233ED15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8F9E38D" w14:textId="2CF345EC" w:rsidR="00AB4642" w:rsidRPr="00591716" w:rsidRDefault="007F3DA4" w:rsidP="007F3DA4">
      <w:pPr>
        <w:jc w:val="center"/>
        <w:rPr>
          <w:rFonts w:ascii="Calibri Light" w:hAnsi="Calibri Light" w:cs="Calibri Light"/>
          <w:sz w:val="18"/>
          <w:szCs w:val="18"/>
        </w:rPr>
      </w:pPr>
      <w:r w:rsidRPr="00591716">
        <w:rPr>
          <w:rFonts w:ascii="Calibri Light" w:hAnsi="Calibri Light" w:cs="Calibri Light"/>
          <w:sz w:val="18"/>
          <w:szCs w:val="18"/>
        </w:rPr>
        <w:t>En cuanto al procedimiento ordinario, la fase arbitral se ha</w:t>
      </w:r>
      <w:r w:rsidR="00086928">
        <w:rPr>
          <w:rFonts w:ascii="Calibri Light" w:hAnsi="Calibri Light" w:cs="Calibri Light"/>
          <w:sz w:val="18"/>
          <w:szCs w:val="18"/>
        </w:rPr>
        <w:t xml:space="preserve"> reducido </w:t>
      </w:r>
      <w:r w:rsidRPr="00591716">
        <w:rPr>
          <w:rFonts w:ascii="Calibri Light" w:hAnsi="Calibri Light" w:cs="Calibri Light"/>
          <w:sz w:val="18"/>
          <w:szCs w:val="18"/>
        </w:rPr>
        <w:t>en un mes respecto del año anterior al igual que la fase ante el árbitro que también se ha</w:t>
      </w:r>
      <w:r w:rsidR="00086928">
        <w:rPr>
          <w:rFonts w:ascii="Calibri Light" w:hAnsi="Calibri Light" w:cs="Calibri Light"/>
          <w:sz w:val="18"/>
          <w:szCs w:val="18"/>
        </w:rPr>
        <w:t xml:space="preserve"> reducido </w:t>
      </w:r>
      <w:r w:rsidRPr="00591716">
        <w:rPr>
          <w:rFonts w:ascii="Calibri Light" w:hAnsi="Calibri Light" w:cs="Calibri Light"/>
          <w:sz w:val="18"/>
          <w:szCs w:val="18"/>
        </w:rPr>
        <w:t xml:space="preserve">en algo más de un mes. Por el contrario, en el procedimiento abreviado ha aumentado la fase </w:t>
      </w:r>
      <w:proofErr w:type="spellStart"/>
      <w:r w:rsidRPr="00591716">
        <w:rPr>
          <w:rFonts w:ascii="Calibri Light" w:hAnsi="Calibri Light" w:cs="Calibri Light"/>
          <w:sz w:val="18"/>
          <w:szCs w:val="18"/>
        </w:rPr>
        <w:t>prearbitral</w:t>
      </w:r>
      <w:proofErr w:type="spellEnd"/>
      <w:r w:rsidRPr="00591716">
        <w:rPr>
          <w:rFonts w:ascii="Calibri Light" w:hAnsi="Calibri Light" w:cs="Calibri Light"/>
          <w:sz w:val="18"/>
          <w:szCs w:val="18"/>
        </w:rPr>
        <w:t xml:space="preserve"> y la fase ante el árbitro </w:t>
      </w:r>
      <w:r w:rsidR="00EF6910" w:rsidRPr="00591716">
        <w:rPr>
          <w:rFonts w:ascii="Calibri Light" w:hAnsi="Calibri Light" w:cs="Calibri Light"/>
          <w:sz w:val="18"/>
          <w:szCs w:val="18"/>
        </w:rPr>
        <w:t xml:space="preserve">en relación con </w:t>
      </w:r>
      <w:r w:rsidRPr="00591716">
        <w:rPr>
          <w:rFonts w:ascii="Calibri Light" w:hAnsi="Calibri Light" w:cs="Calibri Light"/>
          <w:sz w:val="18"/>
          <w:szCs w:val="18"/>
        </w:rPr>
        <w:t>el año 2024, lo cual se debe en parte a la demora de las partes a abonar los derechos de administración.</w:t>
      </w:r>
    </w:p>
    <w:p w14:paraId="04A5E3D5" w14:textId="77777777" w:rsidR="00134A14" w:rsidRPr="00591716" w:rsidRDefault="00134A14" w:rsidP="002C5FFC">
      <w:pPr>
        <w:jc w:val="right"/>
        <w:rPr>
          <w:rFonts w:ascii="Calibri Light" w:hAnsi="Calibri Light" w:cs="Calibri Light"/>
          <w:sz w:val="18"/>
          <w:szCs w:val="18"/>
        </w:rPr>
      </w:pPr>
    </w:p>
    <w:p w14:paraId="5FFC22FC" w14:textId="0AED589F" w:rsidR="00AB4642" w:rsidRPr="00591716" w:rsidRDefault="002C5FFC" w:rsidP="00AB4642">
      <w:pPr>
        <w:tabs>
          <w:tab w:val="right" w:pos="5882"/>
        </w:tabs>
        <w:jc w:val="center"/>
        <w:rPr>
          <w:rFonts w:ascii="Calibri Light" w:hAnsi="Calibri Light" w:cs="Calibri Light"/>
          <w:sz w:val="18"/>
          <w:szCs w:val="18"/>
        </w:rPr>
      </w:pPr>
      <w:r w:rsidRPr="00591716">
        <w:rPr>
          <w:noProof/>
        </w:rPr>
        <w:drawing>
          <wp:anchor distT="0" distB="0" distL="114300" distR="114300" simplePos="0" relativeHeight="251660288" behindDoc="0" locked="0" layoutInCell="1" allowOverlap="1" wp14:anchorId="54B82713" wp14:editId="7A0BCAB6">
            <wp:simplePos x="0" y="0"/>
            <wp:positionH relativeFrom="margin">
              <wp:align>right</wp:align>
            </wp:positionH>
            <wp:positionV relativeFrom="paragraph">
              <wp:posOffset>5715</wp:posOffset>
            </wp:positionV>
            <wp:extent cx="3079750" cy="2340610"/>
            <wp:effectExtent l="0" t="0" r="6350" b="2540"/>
            <wp:wrapSquare wrapText="bothSides"/>
            <wp:docPr id="2049595587" name="Gráfico 1">
              <a:extLst xmlns:a="http://schemas.openxmlformats.org/drawingml/2006/main">
                <a:ext uri="{FF2B5EF4-FFF2-40B4-BE49-F238E27FC236}">
                  <a16:creationId xmlns:a16="http://schemas.microsoft.com/office/drawing/2014/main" id="{17EE6196-6DFA-ECF9-131D-CF772566F0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34F10EA6" w14:textId="6C0A2F00" w:rsidR="00583A68" w:rsidRPr="00591716" w:rsidRDefault="007F3DA4" w:rsidP="007F3DA4">
      <w:pPr>
        <w:jc w:val="center"/>
      </w:pPr>
      <w:r w:rsidRPr="00591716">
        <w:rPr>
          <w:rFonts w:ascii="Calibri Light" w:hAnsi="Calibri Light" w:cs="Calibri Light"/>
          <w:sz w:val="18"/>
          <w:szCs w:val="18"/>
        </w:rPr>
        <w:t>Se mantiene la preferencia del arbitraje de derecho sobre el arbitraje de equidad, si bien hay un incremento del 4% del arbitraje de equidad respecto del año anterior. Este aumento corresponde a la entrada de arbitrajes relativos a pactos</w:t>
      </w:r>
      <w:r w:rsidR="00EF6910" w:rsidRPr="00591716">
        <w:rPr>
          <w:rFonts w:ascii="Calibri Light" w:hAnsi="Calibri Light" w:cs="Calibri Light"/>
          <w:sz w:val="18"/>
          <w:szCs w:val="18"/>
        </w:rPr>
        <w:t xml:space="preserve"> </w:t>
      </w:r>
      <w:proofErr w:type="spellStart"/>
      <w:r w:rsidRPr="00591716">
        <w:rPr>
          <w:rFonts w:ascii="Calibri Light" w:hAnsi="Calibri Light" w:cs="Calibri Light"/>
          <w:sz w:val="18"/>
          <w:szCs w:val="18"/>
        </w:rPr>
        <w:t>parasocial</w:t>
      </w:r>
      <w:r w:rsidR="00EF6910" w:rsidRPr="00591716">
        <w:rPr>
          <w:rFonts w:ascii="Calibri Light" w:hAnsi="Calibri Light" w:cs="Calibri Light"/>
          <w:sz w:val="18"/>
          <w:szCs w:val="18"/>
        </w:rPr>
        <w:t>e</w:t>
      </w:r>
      <w:r w:rsidRPr="00591716">
        <w:rPr>
          <w:rFonts w:ascii="Calibri Light" w:hAnsi="Calibri Light" w:cs="Calibri Light"/>
          <w:sz w:val="18"/>
          <w:szCs w:val="18"/>
        </w:rPr>
        <w:t>s</w:t>
      </w:r>
      <w:proofErr w:type="spellEnd"/>
      <w:r w:rsidR="00EF6910" w:rsidRPr="00591716">
        <w:rPr>
          <w:rFonts w:ascii="Calibri Light" w:hAnsi="Calibri Light" w:cs="Calibri Light"/>
          <w:sz w:val="18"/>
          <w:szCs w:val="18"/>
        </w:rPr>
        <w:t xml:space="preserve"> </w:t>
      </w:r>
      <w:r w:rsidRPr="00591716">
        <w:rPr>
          <w:rFonts w:ascii="Calibri Light" w:hAnsi="Calibri Light" w:cs="Calibri Light"/>
          <w:sz w:val="18"/>
          <w:szCs w:val="18"/>
        </w:rPr>
        <w:t>dentro del ámbito de empresas familiares que incluyen en el pacto arbitral el arbitraje de equidad</w:t>
      </w:r>
      <w:r w:rsidR="00EF6910" w:rsidRPr="00591716">
        <w:rPr>
          <w:rFonts w:ascii="Calibri Light" w:hAnsi="Calibri Light" w:cs="Calibri Light"/>
          <w:sz w:val="18"/>
          <w:szCs w:val="18"/>
        </w:rPr>
        <w:t>.</w:t>
      </w:r>
    </w:p>
    <w:p w14:paraId="4193656F" w14:textId="77777777" w:rsidR="003243AD" w:rsidRPr="00591716" w:rsidRDefault="003243AD" w:rsidP="003243AD"/>
    <w:p w14:paraId="7DD2DD8E" w14:textId="3BF35B19" w:rsidR="003243AD" w:rsidRPr="00591716" w:rsidRDefault="003243AD" w:rsidP="003243AD"/>
    <w:p w14:paraId="25C9B49E" w14:textId="6088430C" w:rsidR="00923397" w:rsidRPr="00591716" w:rsidRDefault="00923397" w:rsidP="00AB4642">
      <w:pPr>
        <w:jc w:val="center"/>
      </w:pPr>
    </w:p>
    <w:p w14:paraId="12AF04EA" w14:textId="77777777" w:rsidR="00B6506C" w:rsidRPr="00591716" w:rsidRDefault="00B6506C" w:rsidP="00AB4642">
      <w:pPr>
        <w:jc w:val="center"/>
      </w:pPr>
    </w:p>
    <w:p w14:paraId="7020FB0F" w14:textId="693ADFF7" w:rsidR="00583A68" w:rsidRPr="00591716" w:rsidRDefault="002C5FFC" w:rsidP="00AB4642">
      <w:pPr>
        <w:jc w:val="center"/>
      </w:pPr>
      <w:r w:rsidRPr="00591716">
        <w:rPr>
          <w:noProof/>
        </w:rPr>
        <w:drawing>
          <wp:anchor distT="0" distB="0" distL="114300" distR="114300" simplePos="0" relativeHeight="251661312" behindDoc="1" locked="0" layoutInCell="1" allowOverlap="1" wp14:anchorId="2ACA845C" wp14:editId="1BEC9D8E">
            <wp:simplePos x="0" y="0"/>
            <wp:positionH relativeFrom="margin">
              <wp:align>left</wp:align>
            </wp:positionH>
            <wp:positionV relativeFrom="paragraph">
              <wp:posOffset>12700</wp:posOffset>
            </wp:positionV>
            <wp:extent cx="3343275" cy="2924175"/>
            <wp:effectExtent l="0" t="0" r="0" b="0"/>
            <wp:wrapTight wrapText="bothSides">
              <wp:wrapPolygon edited="0">
                <wp:start x="0" y="0"/>
                <wp:lineTo x="0" y="21389"/>
                <wp:lineTo x="21415" y="21389"/>
                <wp:lineTo x="21415" y="0"/>
                <wp:lineTo x="0" y="0"/>
              </wp:wrapPolygon>
            </wp:wrapTight>
            <wp:docPr id="1082265571" name="Gráfico 1">
              <a:extLst xmlns:a="http://schemas.openxmlformats.org/drawingml/2006/main">
                <a:ext uri="{FF2B5EF4-FFF2-40B4-BE49-F238E27FC236}">
                  <a16:creationId xmlns:a16="http://schemas.microsoft.com/office/drawing/2014/main" id="{4297F083-C507-B929-274A-61DE0BC182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4179B4C" w14:textId="77777777" w:rsidR="00923397" w:rsidRPr="00591716" w:rsidRDefault="00923397" w:rsidP="00AB4642">
      <w:pPr>
        <w:jc w:val="center"/>
        <w:rPr>
          <w:rFonts w:ascii="Calibri Light" w:hAnsi="Calibri Light" w:cs="Calibri Light"/>
          <w:sz w:val="18"/>
          <w:szCs w:val="18"/>
        </w:rPr>
      </w:pPr>
    </w:p>
    <w:p w14:paraId="1702D1A8" w14:textId="77777777" w:rsidR="00923397" w:rsidRPr="00591716" w:rsidRDefault="00923397" w:rsidP="00AB4642">
      <w:pPr>
        <w:jc w:val="center"/>
        <w:rPr>
          <w:rFonts w:ascii="Calibri Light" w:hAnsi="Calibri Light" w:cs="Calibri Light"/>
          <w:sz w:val="18"/>
          <w:szCs w:val="18"/>
        </w:rPr>
      </w:pPr>
    </w:p>
    <w:p w14:paraId="6F1A8977" w14:textId="5CD61E65" w:rsidR="00C86EF4" w:rsidRPr="00591716" w:rsidRDefault="007F3DA4" w:rsidP="00AB4642">
      <w:pPr>
        <w:jc w:val="center"/>
        <w:rPr>
          <w:rFonts w:ascii="Calibri Light" w:hAnsi="Calibri Light" w:cs="Calibri Light"/>
          <w:sz w:val="18"/>
          <w:szCs w:val="18"/>
        </w:rPr>
      </w:pPr>
      <w:r w:rsidRPr="00591716">
        <w:rPr>
          <w:rFonts w:ascii="Calibri Light" w:hAnsi="Calibri Light" w:cs="Calibri Light"/>
          <w:sz w:val="18"/>
          <w:szCs w:val="18"/>
        </w:rPr>
        <w:t xml:space="preserve">En este punto hay que destacar los arbitrajes en inglés que no se daban </w:t>
      </w:r>
      <w:r w:rsidR="00EF6910" w:rsidRPr="00591716">
        <w:rPr>
          <w:rFonts w:ascii="Calibri Light" w:hAnsi="Calibri Light" w:cs="Calibri Light"/>
          <w:sz w:val="18"/>
          <w:szCs w:val="18"/>
        </w:rPr>
        <w:t>e</w:t>
      </w:r>
      <w:r w:rsidRPr="00591716">
        <w:rPr>
          <w:rFonts w:ascii="Calibri Light" w:hAnsi="Calibri Light" w:cs="Calibri Light"/>
          <w:sz w:val="18"/>
          <w:szCs w:val="18"/>
        </w:rPr>
        <w:t xml:space="preserve">l año pasado y que han supuesto un 3% siendo el idioma escogido por las partes indistintamente </w:t>
      </w:r>
      <w:r w:rsidR="00EF6910" w:rsidRPr="00591716">
        <w:rPr>
          <w:rFonts w:ascii="Calibri Light" w:hAnsi="Calibri Light" w:cs="Calibri Light"/>
          <w:sz w:val="18"/>
          <w:szCs w:val="18"/>
        </w:rPr>
        <w:t xml:space="preserve">junto </w:t>
      </w:r>
      <w:r w:rsidRPr="00591716">
        <w:rPr>
          <w:rFonts w:ascii="Calibri Light" w:hAnsi="Calibri Light" w:cs="Calibri Light"/>
          <w:sz w:val="18"/>
          <w:szCs w:val="18"/>
        </w:rPr>
        <w:t>con el castellano.</w:t>
      </w:r>
      <w:r w:rsidRPr="00591716">
        <w:rPr>
          <w:rFonts w:ascii="Calibri Light" w:hAnsi="Calibri Light" w:cs="Calibri Light"/>
          <w:sz w:val="18"/>
          <w:szCs w:val="18"/>
        </w:rPr>
        <w:br/>
        <w:t>Por otro lado sigue la tendencia de predominio del castellano.</w:t>
      </w:r>
    </w:p>
    <w:p w14:paraId="0F826D2F" w14:textId="77777777" w:rsidR="00C86EF4" w:rsidRPr="00591716" w:rsidRDefault="00C86EF4" w:rsidP="00AB4642">
      <w:pPr>
        <w:jc w:val="center"/>
        <w:rPr>
          <w:rFonts w:ascii="Calibri Light" w:hAnsi="Calibri Light" w:cs="Calibri Light"/>
          <w:sz w:val="18"/>
          <w:szCs w:val="18"/>
        </w:rPr>
      </w:pPr>
    </w:p>
    <w:p w14:paraId="2D790A55" w14:textId="77777777" w:rsidR="00C86EF4" w:rsidRPr="00591716" w:rsidRDefault="00C86EF4" w:rsidP="00AB4642">
      <w:pPr>
        <w:jc w:val="center"/>
        <w:rPr>
          <w:rFonts w:ascii="Calibri Light" w:hAnsi="Calibri Light" w:cs="Calibri Light"/>
          <w:sz w:val="18"/>
          <w:szCs w:val="18"/>
        </w:rPr>
      </w:pPr>
    </w:p>
    <w:p w14:paraId="42F5411D" w14:textId="77777777" w:rsidR="00C86EF4" w:rsidRPr="00591716" w:rsidRDefault="00C86EF4" w:rsidP="00AB4642">
      <w:pPr>
        <w:jc w:val="center"/>
        <w:rPr>
          <w:rFonts w:ascii="Calibri Light" w:hAnsi="Calibri Light" w:cs="Calibri Light"/>
          <w:sz w:val="18"/>
          <w:szCs w:val="18"/>
        </w:rPr>
      </w:pPr>
    </w:p>
    <w:p w14:paraId="59B1A0D3" w14:textId="4BC6725C" w:rsidR="00C86EF4" w:rsidRPr="00591716" w:rsidRDefault="00C86EF4" w:rsidP="00D92200">
      <w:pPr>
        <w:jc w:val="right"/>
      </w:pPr>
    </w:p>
    <w:p w14:paraId="66C68721" w14:textId="77777777" w:rsidR="00B6506C" w:rsidRPr="00591716" w:rsidRDefault="00B6506C" w:rsidP="00D92200">
      <w:pPr>
        <w:jc w:val="right"/>
      </w:pPr>
    </w:p>
    <w:p w14:paraId="5F077C9B" w14:textId="4A2E2176" w:rsidR="00583A68" w:rsidRPr="00591716" w:rsidRDefault="002C5FFC" w:rsidP="00D92200">
      <w:pPr>
        <w:jc w:val="right"/>
      </w:pPr>
      <w:r w:rsidRPr="00591716">
        <w:rPr>
          <w:noProof/>
        </w:rPr>
        <w:drawing>
          <wp:anchor distT="0" distB="0" distL="114300" distR="114300" simplePos="0" relativeHeight="251662336" behindDoc="1" locked="0" layoutInCell="1" allowOverlap="1" wp14:anchorId="2C4A0BAB" wp14:editId="0967D1B6">
            <wp:simplePos x="0" y="0"/>
            <wp:positionH relativeFrom="column">
              <wp:posOffset>3269615</wp:posOffset>
            </wp:positionH>
            <wp:positionV relativeFrom="paragraph">
              <wp:posOffset>295275</wp:posOffset>
            </wp:positionV>
            <wp:extent cx="3610970" cy="2721449"/>
            <wp:effectExtent l="0" t="0" r="8890" b="3175"/>
            <wp:wrapTight wrapText="bothSides">
              <wp:wrapPolygon edited="0">
                <wp:start x="0" y="0"/>
                <wp:lineTo x="0" y="21474"/>
                <wp:lineTo x="21539" y="21474"/>
                <wp:lineTo x="21539" y="0"/>
                <wp:lineTo x="0" y="0"/>
              </wp:wrapPolygon>
            </wp:wrapTight>
            <wp:docPr id="2059728588" name="Gráfico 1">
              <a:extLst xmlns:a="http://schemas.openxmlformats.org/drawingml/2006/main">
                <a:ext uri="{FF2B5EF4-FFF2-40B4-BE49-F238E27FC236}">
                  <a16:creationId xmlns:a16="http://schemas.microsoft.com/office/drawing/2014/main" id="{00680562-7475-2ABC-7085-320F39FCAF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14:paraId="5EA27481" w14:textId="77777777" w:rsidR="000F4529" w:rsidRPr="00591716" w:rsidRDefault="000F4529" w:rsidP="000F4529">
      <w:pPr>
        <w:jc w:val="center"/>
        <w:rPr>
          <w:rFonts w:ascii="Calibri Light" w:hAnsi="Calibri Light" w:cs="Calibri Light"/>
          <w:sz w:val="18"/>
          <w:szCs w:val="18"/>
        </w:rPr>
      </w:pPr>
    </w:p>
    <w:p w14:paraId="067BADF4" w14:textId="77777777" w:rsidR="000F4529" w:rsidRPr="00591716" w:rsidRDefault="000F4529" w:rsidP="000F4529">
      <w:pPr>
        <w:jc w:val="center"/>
        <w:rPr>
          <w:rFonts w:ascii="Calibri Light" w:hAnsi="Calibri Light" w:cs="Calibri Light"/>
          <w:sz w:val="18"/>
          <w:szCs w:val="18"/>
        </w:rPr>
      </w:pPr>
    </w:p>
    <w:p w14:paraId="4558B445" w14:textId="77777777" w:rsidR="000F4529" w:rsidRPr="00591716" w:rsidRDefault="000F4529" w:rsidP="000F4529">
      <w:pPr>
        <w:jc w:val="center"/>
        <w:rPr>
          <w:rFonts w:ascii="Calibri Light" w:hAnsi="Calibri Light" w:cs="Calibri Light"/>
          <w:sz w:val="18"/>
          <w:szCs w:val="18"/>
        </w:rPr>
      </w:pPr>
    </w:p>
    <w:p w14:paraId="2D5C725F" w14:textId="22715401" w:rsidR="00C86EF4" w:rsidRPr="00591716" w:rsidRDefault="007F3DA4" w:rsidP="007F3DA4">
      <w:pPr>
        <w:jc w:val="center"/>
        <w:rPr>
          <w:rFonts w:ascii="Calibri Light" w:hAnsi="Calibri Light" w:cs="Calibri Light"/>
          <w:sz w:val="18"/>
          <w:szCs w:val="18"/>
        </w:rPr>
      </w:pPr>
      <w:r w:rsidRPr="00591716">
        <w:rPr>
          <w:rFonts w:ascii="Calibri Light" w:hAnsi="Calibri Light" w:cs="Calibri Light"/>
          <w:sz w:val="18"/>
          <w:szCs w:val="18"/>
        </w:rPr>
        <w:t>Destacamos el aumento del 5% de arbitrajes</w:t>
      </w:r>
      <w:r w:rsidR="00EF6910" w:rsidRPr="00591716">
        <w:rPr>
          <w:rFonts w:ascii="Calibri Light" w:hAnsi="Calibri Light" w:cs="Calibri Light"/>
          <w:sz w:val="18"/>
          <w:szCs w:val="18"/>
        </w:rPr>
        <w:t xml:space="preserve"> </w:t>
      </w:r>
      <w:r w:rsidRPr="00591716">
        <w:rPr>
          <w:rFonts w:ascii="Calibri Light" w:hAnsi="Calibri Light" w:cs="Calibri Light"/>
          <w:sz w:val="18"/>
          <w:szCs w:val="18"/>
        </w:rPr>
        <w:t>lauda</w:t>
      </w:r>
      <w:r w:rsidR="00EF6910" w:rsidRPr="00591716">
        <w:rPr>
          <w:rFonts w:ascii="Calibri Light" w:hAnsi="Calibri Light" w:cs="Calibri Light"/>
          <w:sz w:val="18"/>
          <w:szCs w:val="18"/>
        </w:rPr>
        <w:t xml:space="preserve">dos </w:t>
      </w:r>
      <w:r w:rsidRPr="00591716">
        <w:rPr>
          <w:rFonts w:ascii="Calibri Light" w:hAnsi="Calibri Light" w:cs="Calibri Light"/>
          <w:sz w:val="18"/>
          <w:szCs w:val="18"/>
        </w:rPr>
        <w:t xml:space="preserve">por mujeres respecto del porcentaje del año anterior que fue del 9%, si bien </w:t>
      </w:r>
      <w:r w:rsidR="00EF6910" w:rsidRPr="00591716">
        <w:rPr>
          <w:rFonts w:ascii="Calibri Light" w:hAnsi="Calibri Light" w:cs="Calibri Light"/>
          <w:sz w:val="18"/>
          <w:szCs w:val="18"/>
        </w:rPr>
        <w:t>é</w:t>
      </w:r>
      <w:r w:rsidRPr="00591716">
        <w:rPr>
          <w:rFonts w:ascii="Calibri Light" w:hAnsi="Calibri Light" w:cs="Calibri Light"/>
          <w:sz w:val="18"/>
          <w:szCs w:val="18"/>
        </w:rPr>
        <w:t>ste aumento es un avance</w:t>
      </w:r>
      <w:r w:rsidR="006A3450" w:rsidRPr="00591716">
        <w:rPr>
          <w:rFonts w:ascii="Calibri Light" w:hAnsi="Calibri Light" w:cs="Calibri Light"/>
          <w:sz w:val="18"/>
          <w:szCs w:val="18"/>
        </w:rPr>
        <w:t>,</w:t>
      </w:r>
      <w:r w:rsidRPr="00591716">
        <w:rPr>
          <w:rFonts w:ascii="Calibri Light" w:hAnsi="Calibri Light" w:cs="Calibri Light"/>
          <w:sz w:val="18"/>
          <w:szCs w:val="18"/>
        </w:rPr>
        <w:t xml:space="preserve"> todavía dista mucho de estar en plan</w:t>
      </w:r>
      <w:r w:rsidR="00EF6910" w:rsidRPr="00591716">
        <w:rPr>
          <w:rFonts w:ascii="Calibri Light" w:hAnsi="Calibri Light" w:cs="Calibri Light"/>
          <w:sz w:val="18"/>
          <w:szCs w:val="18"/>
        </w:rPr>
        <w:t>o</w:t>
      </w:r>
      <w:r w:rsidRPr="00591716">
        <w:rPr>
          <w:rFonts w:ascii="Calibri Light" w:hAnsi="Calibri Light" w:cs="Calibri Light"/>
          <w:sz w:val="18"/>
          <w:szCs w:val="18"/>
        </w:rPr>
        <w:t xml:space="preserve"> de igualdad respecto de los hombres.</w:t>
      </w:r>
    </w:p>
    <w:p w14:paraId="62542CA1" w14:textId="77777777" w:rsidR="00C86EF4" w:rsidRPr="00591716" w:rsidRDefault="00C86EF4" w:rsidP="00C86EF4">
      <w:pPr>
        <w:rPr>
          <w:rFonts w:ascii="Calibri Light" w:hAnsi="Calibri Light" w:cs="Calibri Light"/>
          <w:sz w:val="18"/>
          <w:szCs w:val="18"/>
        </w:rPr>
      </w:pPr>
    </w:p>
    <w:p w14:paraId="21EEBDEA" w14:textId="77777777" w:rsidR="00C86EF4" w:rsidRPr="00591716" w:rsidRDefault="00C86EF4" w:rsidP="00C86EF4">
      <w:pPr>
        <w:rPr>
          <w:rFonts w:ascii="Calibri Light" w:hAnsi="Calibri Light" w:cs="Calibri Light"/>
          <w:sz w:val="18"/>
          <w:szCs w:val="18"/>
        </w:rPr>
      </w:pPr>
    </w:p>
    <w:p w14:paraId="7579F343" w14:textId="77777777" w:rsidR="00C86EF4" w:rsidRPr="00591716" w:rsidRDefault="00C86EF4" w:rsidP="00C86EF4">
      <w:pPr>
        <w:rPr>
          <w:rFonts w:ascii="Calibri Light" w:hAnsi="Calibri Light" w:cs="Calibri Light"/>
          <w:sz w:val="18"/>
          <w:szCs w:val="18"/>
        </w:rPr>
      </w:pPr>
    </w:p>
    <w:p w14:paraId="7048717C" w14:textId="3F90DC41" w:rsidR="00C86EF4" w:rsidRPr="00591716" w:rsidRDefault="00C86EF4" w:rsidP="00C86EF4">
      <w:pPr>
        <w:rPr>
          <w:rFonts w:ascii="Calibri Light" w:hAnsi="Calibri Light" w:cs="Calibri Light"/>
          <w:sz w:val="18"/>
          <w:szCs w:val="18"/>
        </w:rPr>
      </w:pPr>
      <w:r w:rsidRPr="00591716">
        <w:rPr>
          <w:noProof/>
        </w:rPr>
        <w:lastRenderedPageBreak/>
        <w:drawing>
          <wp:anchor distT="0" distB="0" distL="114300" distR="114300" simplePos="0" relativeHeight="251663360" behindDoc="1" locked="0" layoutInCell="1" allowOverlap="1" wp14:anchorId="68608BD1" wp14:editId="24423B60">
            <wp:simplePos x="0" y="0"/>
            <wp:positionH relativeFrom="margin">
              <wp:align>left</wp:align>
            </wp:positionH>
            <wp:positionV relativeFrom="paragraph">
              <wp:posOffset>85781</wp:posOffset>
            </wp:positionV>
            <wp:extent cx="3214047" cy="2784143"/>
            <wp:effectExtent l="0" t="0" r="5715" b="0"/>
            <wp:wrapTight wrapText="bothSides">
              <wp:wrapPolygon edited="0">
                <wp:start x="0" y="0"/>
                <wp:lineTo x="0" y="21432"/>
                <wp:lineTo x="21510" y="21432"/>
                <wp:lineTo x="21510" y="0"/>
                <wp:lineTo x="0" y="0"/>
              </wp:wrapPolygon>
            </wp:wrapTight>
            <wp:docPr id="913770861" name="Gráfico 1">
              <a:extLst xmlns:a="http://schemas.openxmlformats.org/drawingml/2006/main">
                <a:ext uri="{FF2B5EF4-FFF2-40B4-BE49-F238E27FC236}">
                  <a16:creationId xmlns:a16="http://schemas.microsoft.com/office/drawing/2014/main" id="{575D5661-61DC-9E49-4330-BA27060A29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16A27E1B" w14:textId="77777777" w:rsidR="00C86EF4" w:rsidRPr="00591716" w:rsidRDefault="00C86EF4" w:rsidP="00C86EF4">
      <w:pPr>
        <w:rPr>
          <w:rFonts w:ascii="Calibri Light" w:hAnsi="Calibri Light" w:cs="Calibri Light"/>
          <w:sz w:val="18"/>
          <w:szCs w:val="18"/>
        </w:rPr>
      </w:pPr>
    </w:p>
    <w:p w14:paraId="399EC361" w14:textId="77777777" w:rsidR="00C86EF4" w:rsidRPr="00591716" w:rsidRDefault="00C86EF4" w:rsidP="00C86EF4">
      <w:pPr>
        <w:rPr>
          <w:rFonts w:ascii="Calibri Light" w:hAnsi="Calibri Light" w:cs="Calibri Light"/>
          <w:sz w:val="18"/>
          <w:szCs w:val="18"/>
        </w:rPr>
      </w:pPr>
    </w:p>
    <w:p w14:paraId="72F73E18" w14:textId="77777777" w:rsidR="00C86EF4" w:rsidRPr="00591716" w:rsidRDefault="00C86EF4" w:rsidP="00C86EF4">
      <w:pPr>
        <w:rPr>
          <w:rFonts w:ascii="Calibri Light" w:hAnsi="Calibri Light" w:cs="Calibri Light"/>
          <w:sz w:val="18"/>
          <w:szCs w:val="18"/>
        </w:rPr>
      </w:pPr>
    </w:p>
    <w:p w14:paraId="565F196B" w14:textId="19724918" w:rsidR="00C86EF4" w:rsidRPr="00591716" w:rsidRDefault="00876472" w:rsidP="00876472">
      <w:pPr>
        <w:jc w:val="center"/>
        <w:rPr>
          <w:rFonts w:ascii="Calibri Light" w:hAnsi="Calibri Light" w:cs="Calibri Light"/>
          <w:sz w:val="18"/>
          <w:szCs w:val="18"/>
        </w:rPr>
      </w:pPr>
      <w:r w:rsidRPr="00591716">
        <w:rPr>
          <w:rFonts w:ascii="Calibri Light" w:hAnsi="Calibri Light" w:cs="Calibri Light"/>
          <w:sz w:val="18"/>
          <w:szCs w:val="18"/>
        </w:rPr>
        <w:t>Se mantiene el predominio del arbitraje doméstico hacia el arbitraje internacional, si bien se tiene que destacar un aumento del 21% del arbitraje internacional respecto del año anterior.</w:t>
      </w:r>
    </w:p>
    <w:p w14:paraId="6A26E03D" w14:textId="77777777" w:rsidR="00C86EF4" w:rsidRPr="00591716" w:rsidRDefault="00C86EF4" w:rsidP="00C86EF4">
      <w:pPr>
        <w:rPr>
          <w:rFonts w:ascii="Calibri Light" w:hAnsi="Calibri Light" w:cs="Calibri Light"/>
          <w:sz w:val="18"/>
          <w:szCs w:val="18"/>
        </w:rPr>
      </w:pPr>
    </w:p>
    <w:p w14:paraId="628FAD11" w14:textId="77777777" w:rsidR="00C86EF4" w:rsidRPr="00591716" w:rsidRDefault="00C86EF4" w:rsidP="00C86EF4">
      <w:pPr>
        <w:rPr>
          <w:rFonts w:ascii="Calibri Light" w:hAnsi="Calibri Light" w:cs="Calibri Light"/>
          <w:sz w:val="18"/>
          <w:szCs w:val="18"/>
        </w:rPr>
      </w:pPr>
    </w:p>
    <w:p w14:paraId="4259C23A" w14:textId="77777777" w:rsidR="00C86EF4" w:rsidRPr="00591716" w:rsidRDefault="00C86EF4" w:rsidP="00C86EF4">
      <w:pPr>
        <w:rPr>
          <w:rFonts w:ascii="Calibri Light" w:hAnsi="Calibri Light" w:cs="Calibri Light"/>
          <w:sz w:val="18"/>
          <w:szCs w:val="18"/>
        </w:rPr>
      </w:pPr>
    </w:p>
    <w:p w14:paraId="2B26C560" w14:textId="0071C250" w:rsidR="00B860AA" w:rsidRPr="00591716" w:rsidRDefault="00B860AA" w:rsidP="00C86EF4">
      <w:pPr>
        <w:jc w:val="right"/>
        <w:rPr>
          <w:rFonts w:ascii="Calibri Light" w:hAnsi="Calibri Light" w:cs="Calibri Light"/>
          <w:sz w:val="18"/>
          <w:szCs w:val="18"/>
        </w:rPr>
      </w:pPr>
    </w:p>
    <w:p w14:paraId="2C48D895" w14:textId="268E735D" w:rsidR="00B860AA" w:rsidRPr="00591716" w:rsidRDefault="00B860AA" w:rsidP="00C86EF4">
      <w:pPr>
        <w:jc w:val="right"/>
        <w:rPr>
          <w:rFonts w:ascii="Calibri Light" w:hAnsi="Calibri Light" w:cs="Calibri Light"/>
          <w:sz w:val="18"/>
          <w:szCs w:val="18"/>
        </w:rPr>
      </w:pPr>
    </w:p>
    <w:p w14:paraId="4DED91EF" w14:textId="740DC31C" w:rsidR="00C86EF4" w:rsidRPr="00591716" w:rsidRDefault="00B6506C" w:rsidP="00B6506C">
      <w:pPr>
        <w:jc w:val="right"/>
        <w:rPr>
          <w:rFonts w:ascii="Calibri Light" w:hAnsi="Calibri Light" w:cs="Calibri Light"/>
          <w:sz w:val="18"/>
          <w:szCs w:val="18"/>
        </w:rPr>
      </w:pPr>
      <w:r w:rsidRPr="00591716">
        <w:rPr>
          <w:noProof/>
        </w:rPr>
        <w:drawing>
          <wp:anchor distT="0" distB="0" distL="114300" distR="114300" simplePos="0" relativeHeight="251664384" behindDoc="1" locked="0" layoutInCell="1" allowOverlap="1" wp14:anchorId="4F0301CE" wp14:editId="44E2318E">
            <wp:simplePos x="0" y="0"/>
            <wp:positionH relativeFrom="margin">
              <wp:posOffset>2839720</wp:posOffset>
            </wp:positionH>
            <wp:positionV relativeFrom="paragraph">
              <wp:posOffset>5715</wp:posOffset>
            </wp:positionV>
            <wp:extent cx="4181475" cy="3133725"/>
            <wp:effectExtent l="0" t="0" r="0" b="0"/>
            <wp:wrapTight wrapText="bothSides">
              <wp:wrapPolygon edited="0">
                <wp:start x="0" y="0"/>
                <wp:lineTo x="0" y="21403"/>
                <wp:lineTo x="21452" y="21403"/>
                <wp:lineTo x="21452" y="0"/>
                <wp:lineTo x="0" y="0"/>
              </wp:wrapPolygon>
            </wp:wrapTight>
            <wp:docPr id="661694397" name="Gráfico 1">
              <a:extLst xmlns:a="http://schemas.openxmlformats.org/drawingml/2006/main">
                <a:ext uri="{FF2B5EF4-FFF2-40B4-BE49-F238E27FC236}">
                  <a16:creationId xmlns:a16="http://schemas.microsoft.com/office/drawing/2014/main" id="{F8788632-868E-026D-75E2-633D104842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3536CDC5" w14:textId="77777777" w:rsidR="00B6506C" w:rsidRPr="00591716" w:rsidRDefault="00B6506C" w:rsidP="00B860AA">
      <w:pPr>
        <w:jc w:val="center"/>
        <w:rPr>
          <w:rFonts w:ascii="Calibri Light" w:hAnsi="Calibri Light" w:cs="Calibri Light"/>
          <w:sz w:val="18"/>
          <w:szCs w:val="18"/>
        </w:rPr>
      </w:pPr>
    </w:p>
    <w:p w14:paraId="7162DD53" w14:textId="77777777" w:rsidR="00B6506C" w:rsidRPr="00591716" w:rsidRDefault="00B6506C" w:rsidP="00B860AA">
      <w:pPr>
        <w:jc w:val="center"/>
        <w:rPr>
          <w:rFonts w:ascii="Calibri Light" w:hAnsi="Calibri Light" w:cs="Calibri Light"/>
          <w:sz w:val="18"/>
          <w:szCs w:val="18"/>
        </w:rPr>
      </w:pPr>
    </w:p>
    <w:p w14:paraId="10626E33" w14:textId="52F856B7" w:rsidR="00C86EF4" w:rsidRPr="00591716" w:rsidRDefault="00876472" w:rsidP="00876472">
      <w:pPr>
        <w:jc w:val="center"/>
        <w:rPr>
          <w:rFonts w:ascii="Calibri Light" w:hAnsi="Calibri Light" w:cs="Calibri Light"/>
          <w:sz w:val="18"/>
          <w:szCs w:val="18"/>
        </w:rPr>
      </w:pPr>
      <w:r w:rsidRPr="00591716">
        <w:rPr>
          <w:rFonts w:ascii="Calibri Light" w:hAnsi="Calibri Light" w:cs="Calibri Light"/>
          <w:sz w:val="18"/>
          <w:szCs w:val="18"/>
        </w:rPr>
        <w:t>Si bien continúa la tendencia al cumplimiento voluntario de los laudos, en este año se reduce el porcentaje del año pasado. Se mantiene la misma tendencia respecto de los laudos ejecutados judicialmente y los impugnados ante el TSJ Cataluña.</w:t>
      </w:r>
    </w:p>
    <w:p w14:paraId="116F68FF" w14:textId="77777777" w:rsidR="00C86EF4" w:rsidRPr="00591716" w:rsidRDefault="00C86EF4" w:rsidP="00C86EF4">
      <w:pPr>
        <w:jc w:val="right"/>
        <w:rPr>
          <w:rFonts w:ascii="Calibri Light" w:hAnsi="Calibri Light" w:cs="Calibri Light"/>
          <w:sz w:val="18"/>
          <w:szCs w:val="18"/>
        </w:rPr>
      </w:pPr>
    </w:p>
    <w:p w14:paraId="1264C188" w14:textId="77777777" w:rsidR="00C86EF4" w:rsidRPr="00591716" w:rsidRDefault="00C86EF4" w:rsidP="00C86EF4">
      <w:pPr>
        <w:jc w:val="right"/>
        <w:rPr>
          <w:rFonts w:ascii="Calibri Light" w:hAnsi="Calibri Light" w:cs="Calibri Light"/>
          <w:sz w:val="18"/>
          <w:szCs w:val="18"/>
        </w:rPr>
      </w:pPr>
    </w:p>
    <w:p w14:paraId="3213F927" w14:textId="77777777" w:rsidR="00C86EF4" w:rsidRPr="00591716" w:rsidRDefault="00C86EF4" w:rsidP="00C86EF4">
      <w:pPr>
        <w:jc w:val="right"/>
        <w:rPr>
          <w:rFonts w:ascii="Calibri Light" w:hAnsi="Calibri Light" w:cs="Calibri Light"/>
          <w:sz w:val="18"/>
          <w:szCs w:val="18"/>
        </w:rPr>
      </w:pPr>
    </w:p>
    <w:p w14:paraId="542B46AA" w14:textId="77777777" w:rsidR="00C86EF4" w:rsidRPr="00EF4AF2" w:rsidRDefault="00C86EF4" w:rsidP="00C86EF4">
      <w:pPr>
        <w:jc w:val="right"/>
      </w:pPr>
    </w:p>
    <w:sectPr w:rsidR="00C86EF4" w:rsidRPr="00EF4AF2" w:rsidSect="00ED7C87">
      <w:headerReference w:type="default" r:id="rId23"/>
      <w:footerReference w:type="default" r:id="rId24"/>
      <w:headerReference w:type="first" r:id="rId25"/>
      <w:footerReference w:type="first" r:id="rId26"/>
      <w:pgSz w:w="11906" w:h="16838"/>
      <w:pgMar w:top="851" w:right="567" w:bottom="568" w:left="567"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80467" w14:textId="77777777" w:rsidR="002825BD" w:rsidRPr="00591716" w:rsidRDefault="002825BD" w:rsidP="009D2E70">
      <w:pPr>
        <w:spacing w:after="0" w:line="240" w:lineRule="auto"/>
      </w:pPr>
      <w:r w:rsidRPr="00591716">
        <w:separator/>
      </w:r>
    </w:p>
  </w:endnote>
  <w:endnote w:type="continuationSeparator" w:id="0">
    <w:p w14:paraId="197E45B5" w14:textId="77777777" w:rsidR="002825BD" w:rsidRPr="00591716" w:rsidRDefault="002825BD" w:rsidP="009D2E70">
      <w:pPr>
        <w:spacing w:after="0" w:line="240" w:lineRule="auto"/>
      </w:pPr>
      <w:r w:rsidRPr="005917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NirmalaU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479901"/>
      <w:docPartObj>
        <w:docPartGallery w:val="Page Numbers (Bottom of Page)"/>
        <w:docPartUnique/>
      </w:docPartObj>
    </w:sdtPr>
    <w:sdtEndPr/>
    <w:sdtContent>
      <w:p w14:paraId="6CD4C72D" w14:textId="7E911510" w:rsidR="009D2E70" w:rsidRPr="00591716" w:rsidRDefault="009D2E70" w:rsidP="00ED7C87">
        <w:pPr>
          <w:autoSpaceDE w:val="0"/>
          <w:autoSpaceDN w:val="0"/>
          <w:adjustRightInd w:val="0"/>
          <w:spacing w:after="0" w:line="240" w:lineRule="auto"/>
          <w:jc w:val="center"/>
        </w:pPr>
        <w:r w:rsidRPr="00591716">
          <w:fldChar w:fldCharType="begin"/>
        </w:r>
        <w:r w:rsidRPr="00591716">
          <w:instrText>PAGE   \* MERGEFORMAT</w:instrText>
        </w:r>
        <w:r w:rsidRPr="00591716">
          <w:fldChar w:fldCharType="separate"/>
        </w:r>
        <w:r w:rsidRPr="00591716">
          <w:t>2</w:t>
        </w:r>
        <w:r w:rsidRPr="00591716">
          <w:fldChar w:fldCharType="end"/>
        </w:r>
      </w:p>
    </w:sdtContent>
  </w:sdt>
  <w:p w14:paraId="681C70C0" w14:textId="77777777" w:rsidR="009D2E70" w:rsidRPr="00591716" w:rsidRDefault="009D2E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1B46" w14:textId="77777777" w:rsidR="00C86EF4" w:rsidRPr="00591716" w:rsidRDefault="00C86EF4" w:rsidP="00C86EF4">
    <w:pPr>
      <w:autoSpaceDE w:val="0"/>
      <w:autoSpaceDN w:val="0"/>
      <w:adjustRightInd w:val="0"/>
      <w:spacing w:after="0" w:line="240" w:lineRule="auto"/>
      <w:jc w:val="center"/>
      <w:rPr>
        <w:rFonts w:ascii="NirmalaUI" w:hAnsi="NirmalaUI" w:cs="NirmalaUI"/>
        <w:sz w:val="12"/>
        <w:szCs w:val="12"/>
      </w:rPr>
    </w:pPr>
    <w:r w:rsidRPr="00591716">
      <w:rPr>
        <w:rFonts w:ascii="NirmalaUI" w:hAnsi="NirmalaUI" w:cs="NirmalaUI"/>
        <w:sz w:val="12"/>
        <w:szCs w:val="12"/>
      </w:rPr>
      <w:t>Roger de Llúria, 113. 08037 Barcelona, Spain • T. (+34) 933 198 117 secretaria@tab.es • www.tab.es</w:t>
    </w:r>
  </w:p>
  <w:p w14:paraId="7FD1212C" w14:textId="1774FABD" w:rsidR="00C86EF4" w:rsidRPr="00591716" w:rsidRDefault="00C86EF4" w:rsidP="00C86EF4">
    <w:pPr>
      <w:autoSpaceDE w:val="0"/>
      <w:autoSpaceDN w:val="0"/>
      <w:adjustRightInd w:val="0"/>
      <w:spacing w:after="0" w:line="240" w:lineRule="auto"/>
      <w:jc w:val="center"/>
      <w:rPr>
        <w:rFonts w:ascii="NirmalaUI" w:hAnsi="NirmalaUI" w:cs="NirmalaUI"/>
        <w:sz w:val="12"/>
        <w:szCs w:val="12"/>
      </w:rPr>
    </w:pPr>
    <w:r w:rsidRPr="00591716">
      <w:rPr>
        <w:rFonts w:ascii="NirmalaUI" w:hAnsi="NirmalaUI" w:cs="NirmalaUI"/>
        <w:sz w:val="12"/>
        <w:szCs w:val="12"/>
      </w:rPr>
      <w:t>Tribunal Arbitral de Barcelona® · Tribunal Arbitral de Catalunya® Asociació</w:t>
    </w:r>
    <w:r w:rsidR="00A1224E" w:rsidRPr="00591716">
      <w:rPr>
        <w:rFonts w:ascii="NirmalaUI" w:hAnsi="NirmalaUI" w:cs="NirmalaUI"/>
        <w:sz w:val="12"/>
        <w:szCs w:val="12"/>
      </w:rPr>
      <w:t>n</w:t>
    </w:r>
    <w:r w:rsidRPr="00591716">
      <w:rPr>
        <w:rFonts w:ascii="NirmalaUI" w:hAnsi="NirmalaUI" w:cs="NirmalaUI"/>
        <w:sz w:val="12"/>
        <w:szCs w:val="12"/>
      </w:rPr>
      <w:t xml:space="preserve"> Catalana p</w:t>
    </w:r>
    <w:r w:rsidR="00A1224E" w:rsidRPr="00591716">
      <w:rPr>
        <w:rFonts w:ascii="NirmalaUI" w:hAnsi="NirmalaUI" w:cs="NirmalaUI"/>
        <w:sz w:val="12"/>
        <w:szCs w:val="12"/>
      </w:rPr>
      <w:t>a</w:t>
    </w:r>
    <w:r w:rsidRPr="00591716">
      <w:rPr>
        <w:rFonts w:ascii="NirmalaUI" w:hAnsi="NirmalaUI" w:cs="NirmalaUI"/>
        <w:sz w:val="12"/>
        <w:szCs w:val="12"/>
      </w:rPr>
      <w:t>r</w:t>
    </w:r>
    <w:r w:rsidR="00A1224E" w:rsidRPr="00591716">
      <w:rPr>
        <w:rFonts w:ascii="NirmalaUI" w:hAnsi="NirmalaUI" w:cs="NirmalaUI"/>
        <w:sz w:val="12"/>
        <w:szCs w:val="12"/>
      </w:rPr>
      <w:t>a</w:t>
    </w:r>
    <w:r w:rsidRPr="00591716">
      <w:rPr>
        <w:rFonts w:ascii="NirmalaUI" w:hAnsi="NirmalaUI" w:cs="NirmalaUI"/>
        <w:sz w:val="12"/>
        <w:szCs w:val="12"/>
      </w:rPr>
      <w:t xml:space="preserve"> </w:t>
    </w:r>
    <w:r w:rsidR="00A1224E" w:rsidRPr="00591716">
      <w:rPr>
        <w:rFonts w:ascii="NirmalaUI" w:hAnsi="NirmalaUI" w:cs="NirmalaUI"/>
        <w:sz w:val="12"/>
        <w:szCs w:val="12"/>
      </w:rPr>
      <w:t>e</w:t>
    </w:r>
    <w:r w:rsidRPr="00591716">
      <w:rPr>
        <w:rFonts w:ascii="NirmalaUI" w:hAnsi="NirmalaUI" w:cs="NirmalaUI"/>
        <w:sz w:val="12"/>
        <w:szCs w:val="12"/>
      </w:rPr>
      <w:t>l</w:t>
    </w:r>
    <w:r w:rsidR="00A1224E" w:rsidRPr="00591716">
      <w:rPr>
        <w:rFonts w:ascii="NirmalaUI" w:hAnsi="NirmalaUI" w:cs="NirmalaUI"/>
        <w:sz w:val="12"/>
        <w:szCs w:val="12"/>
      </w:rPr>
      <w:t xml:space="preserve"> </w:t>
    </w:r>
    <w:proofErr w:type="spellStart"/>
    <w:r w:rsidRPr="00591716">
      <w:rPr>
        <w:rFonts w:ascii="NirmalaUI" w:hAnsi="NirmalaUI" w:cs="NirmalaUI"/>
        <w:sz w:val="12"/>
        <w:szCs w:val="12"/>
      </w:rPr>
      <w:t>Arbitrat</w:t>
    </w:r>
    <w:r w:rsidR="00A1224E" w:rsidRPr="00591716">
      <w:rPr>
        <w:rFonts w:ascii="NirmalaUI" w:hAnsi="NirmalaUI" w:cs="NirmalaUI"/>
        <w:sz w:val="12"/>
        <w:szCs w:val="12"/>
      </w:rPr>
      <w:t>j</w:t>
    </w:r>
    <w:r w:rsidRPr="00591716">
      <w:rPr>
        <w:rFonts w:ascii="NirmalaUI" w:hAnsi="NirmalaUI" w:cs="NirmalaUI"/>
        <w:sz w:val="12"/>
        <w:szCs w:val="12"/>
      </w:rPr>
      <w:t>e</w:t>
    </w:r>
    <w:proofErr w:type="spellEnd"/>
    <w:r w:rsidRPr="00591716">
      <w:rPr>
        <w:rFonts w:ascii="NirmalaUI" w:hAnsi="NirmalaUI" w:cs="NirmalaUI"/>
        <w:sz w:val="12"/>
        <w:szCs w:val="12"/>
      </w:rPr>
      <w:t>.</w:t>
    </w:r>
  </w:p>
  <w:p w14:paraId="14F27F89" w14:textId="183B61FA" w:rsidR="00C86EF4" w:rsidRPr="00591716" w:rsidRDefault="00C86EF4" w:rsidP="00C86EF4">
    <w:pPr>
      <w:pStyle w:val="Piedepgina"/>
      <w:jc w:val="center"/>
      <w:rPr>
        <w:sz w:val="12"/>
        <w:szCs w:val="12"/>
      </w:rPr>
    </w:pPr>
    <w:r w:rsidRPr="00591716">
      <w:rPr>
        <w:rFonts w:ascii="NirmalaUI" w:hAnsi="NirmalaUI" w:cs="NirmalaUI"/>
        <w:sz w:val="12"/>
        <w:szCs w:val="12"/>
      </w:rPr>
      <w:t>CIF núm. G-58941964. Inscrita en el Registr</w:t>
    </w:r>
    <w:r w:rsidR="00A1224E" w:rsidRPr="00591716">
      <w:rPr>
        <w:rFonts w:ascii="NirmalaUI" w:hAnsi="NirmalaUI" w:cs="NirmalaUI"/>
        <w:sz w:val="12"/>
        <w:szCs w:val="12"/>
      </w:rPr>
      <w:t>o</w:t>
    </w:r>
    <w:r w:rsidRPr="00591716">
      <w:rPr>
        <w:rFonts w:ascii="NirmalaUI" w:hAnsi="NirmalaUI" w:cs="NirmalaUI"/>
        <w:sz w:val="12"/>
        <w:szCs w:val="12"/>
      </w:rPr>
      <w:t xml:space="preserve"> d</w:t>
    </w:r>
    <w:r w:rsidR="00A1224E" w:rsidRPr="00591716">
      <w:rPr>
        <w:rFonts w:ascii="NirmalaUI" w:hAnsi="NirmalaUI" w:cs="NirmalaUI"/>
        <w:sz w:val="12"/>
        <w:szCs w:val="12"/>
      </w:rPr>
      <w:t xml:space="preserve">e </w:t>
    </w:r>
    <w:r w:rsidRPr="00591716">
      <w:rPr>
        <w:rFonts w:ascii="NirmalaUI" w:hAnsi="NirmalaUI" w:cs="NirmalaUI"/>
        <w:sz w:val="12"/>
        <w:szCs w:val="12"/>
      </w:rPr>
      <w:t>Asociacion</w:t>
    </w:r>
    <w:r w:rsidR="00A1224E" w:rsidRPr="00591716">
      <w:rPr>
        <w:rFonts w:ascii="NirmalaUI" w:hAnsi="NirmalaUI" w:cs="NirmalaUI"/>
        <w:sz w:val="12"/>
        <w:szCs w:val="12"/>
      </w:rPr>
      <w:t>e</w:t>
    </w:r>
    <w:r w:rsidRPr="00591716">
      <w:rPr>
        <w:rFonts w:ascii="NirmalaUI" w:hAnsi="NirmalaUI" w:cs="NirmalaUI"/>
        <w:sz w:val="12"/>
        <w:szCs w:val="12"/>
      </w:rPr>
      <w:t xml:space="preserve">s de la Generalitat de Catalunya </w:t>
    </w:r>
    <w:r w:rsidR="00A1224E" w:rsidRPr="00591716">
      <w:rPr>
        <w:rFonts w:ascii="NirmalaUI" w:hAnsi="NirmalaUI" w:cs="NirmalaUI"/>
        <w:sz w:val="12"/>
        <w:szCs w:val="12"/>
      </w:rPr>
      <w:t>con</w:t>
    </w:r>
    <w:r w:rsidRPr="00591716">
      <w:rPr>
        <w:rFonts w:ascii="NirmalaUI" w:hAnsi="NirmalaUI" w:cs="NirmalaUI"/>
        <w:sz w:val="12"/>
        <w:szCs w:val="12"/>
      </w:rPr>
      <w:t xml:space="preserve"> el núm. 10643.</w:t>
    </w:r>
  </w:p>
  <w:p w14:paraId="7BEB6E5A" w14:textId="77777777" w:rsidR="00C86EF4" w:rsidRPr="00591716" w:rsidRDefault="00C86E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47967" w14:textId="77777777" w:rsidR="002825BD" w:rsidRPr="00591716" w:rsidRDefault="002825BD" w:rsidP="009D2E70">
      <w:pPr>
        <w:spacing w:after="0" w:line="240" w:lineRule="auto"/>
      </w:pPr>
      <w:r w:rsidRPr="00591716">
        <w:separator/>
      </w:r>
    </w:p>
  </w:footnote>
  <w:footnote w:type="continuationSeparator" w:id="0">
    <w:p w14:paraId="057FB7EB" w14:textId="77777777" w:rsidR="002825BD" w:rsidRPr="00591716" w:rsidRDefault="002825BD" w:rsidP="009D2E70">
      <w:pPr>
        <w:spacing w:after="0" w:line="240" w:lineRule="auto"/>
      </w:pPr>
      <w:r w:rsidRPr="00591716">
        <w:continuationSeparator/>
      </w:r>
    </w:p>
  </w:footnote>
  <w:footnote w:id="1">
    <w:p w14:paraId="557D5B17" w14:textId="1D19CC62" w:rsidR="00FE201F" w:rsidRPr="005F24C6" w:rsidRDefault="00FE201F" w:rsidP="005F24C6">
      <w:pPr>
        <w:pStyle w:val="Textonotapie"/>
        <w:jc w:val="both"/>
        <w:rPr>
          <w:rFonts w:ascii="Calibri Light" w:hAnsi="Calibri Light" w:cs="Calibri Light"/>
          <w:sz w:val="18"/>
          <w:szCs w:val="18"/>
        </w:rPr>
      </w:pPr>
      <w:r w:rsidRPr="00591716">
        <w:rPr>
          <w:rStyle w:val="Refdenotaalpie"/>
          <w:rFonts w:ascii="Calibri Light" w:hAnsi="Calibri Light" w:cs="Calibri Light"/>
          <w:sz w:val="18"/>
          <w:szCs w:val="18"/>
        </w:rPr>
        <w:footnoteRef/>
      </w:r>
      <w:r w:rsidRPr="00591716">
        <w:rPr>
          <w:rFonts w:ascii="Calibri Light" w:hAnsi="Calibri Light" w:cs="Calibri Light"/>
          <w:sz w:val="18"/>
          <w:szCs w:val="18"/>
        </w:rPr>
        <w:t xml:space="preserve"> </w:t>
      </w:r>
      <w:r w:rsidR="007F3DA4" w:rsidRPr="00591716">
        <w:rPr>
          <w:rFonts w:ascii="Calibri Light" w:hAnsi="Calibri Light" w:cs="Calibri Light"/>
          <w:sz w:val="18"/>
          <w:szCs w:val="18"/>
        </w:rPr>
        <w:t>El aumento de la fase prearbitral del procedimiento abreviado viene motivado por las renuncias de los árbitros designados en uno de los expedientes, así como por el hecho que en algunos casos las partes instantes ha</w:t>
      </w:r>
      <w:r w:rsidR="00EF6910" w:rsidRPr="00591716">
        <w:rPr>
          <w:rFonts w:ascii="Calibri Light" w:hAnsi="Calibri Light" w:cs="Calibri Light"/>
          <w:sz w:val="18"/>
          <w:szCs w:val="18"/>
        </w:rPr>
        <w:t>n</w:t>
      </w:r>
      <w:r w:rsidR="007F3DA4" w:rsidRPr="00591716">
        <w:rPr>
          <w:rFonts w:ascii="Calibri Light" w:hAnsi="Calibri Light" w:cs="Calibri Light"/>
          <w:sz w:val="18"/>
          <w:szCs w:val="18"/>
        </w:rPr>
        <w:t xml:space="preserve"> tenido que asumir los derechos de administración y honorarios en su totalidad y a que en uno de los expedientes se tuvo que llevar a cabo una diligencia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103D" w14:textId="6335A139" w:rsidR="00C86EF4" w:rsidRPr="00591716" w:rsidRDefault="00C86EF4" w:rsidP="00C86EF4">
    <w:pPr>
      <w:pStyle w:val="Encabezado"/>
      <w:jc w:val="right"/>
    </w:pPr>
    <w:r w:rsidRPr="00591716">
      <w:rPr>
        <w:noProof/>
      </w:rPr>
      <w:drawing>
        <wp:inline distT="0" distB="0" distL="0" distR="0" wp14:anchorId="1B76FEEC" wp14:editId="3F1E56D6">
          <wp:extent cx="647700" cy="647700"/>
          <wp:effectExtent l="0" t="0" r="0" b="0"/>
          <wp:docPr id="842570344" name="Imagen 84257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521398" name=""/>
                  <pic:cNvPicPr/>
                </pic:nvPicPr>
                <pic:blipFill>
                  <a:blip r:embed="rId1"/>
                  <a:stretch>
                    <a:fillRect/>
                  </a:stretch>
                </pic:blipFill>
                <pic:spPr>
                  <a:xfrm>
                    <a:off x="0" y="0"/>
                    <a:ext cx="647700" cy="6477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C771" w14:textId="023D0BF1" w:rsidR="00E02394" w:rsidRPr="00591716" w:rsidRDefault="00E02394" w:rsidP="00E02394">
    <w:pPr>
      <w:pStyle w:val="Encabezado"/>
      <w:jc w:val="right"/>
    </w:pPr>
    <w:r w:rsidRPr="00591716">
      <w:rPr>
        <w:noProof/>
      </w:rPr>
      <w:drawing>
        <wp:inline distT="0" distB="0" distL="0" distR="0" wp14:anchorId="7AFFD0B3" wp14:editId="7614279A">
          <wp:extent cx="647700" cy="647700"/>
          <wp:effectExtent l="0" t="0" r="0" b="0"/>
          <wp:docPr id="1055634866" name="Imagen 1055634866" descr="Texto,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75803" name="Imagen 1276775803" descr="Texto, Icono&#10;&#10;El contenido generado por IA puede ser incorrecto."/>
                  <pic:cNvPicPr/>
                </pic:nvPicPr>
                <pic:blipFill>
                  <a:blip r:embed="rId1"/>
                  <a:stretch>
                    <a:fillRect/>
                  </a:stretch>
                </pic:blipFill>
                <pic:spPr>
                  <a:xfrm>
                    <a:off x="0" y="0"/>
                    <a:ext cx="647700" cy="6477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84F"/>
    <w:rsid w:val="000248C1"/>
    <w:rsid w:val="000358BE"/>
    <w:rsid w:val="00042D11"/>
    <w:rsid w:val="00066C1A"/>
    <w:rsid w:val="00072716"/>
    <w:rsid w:val="00086928"/>
    <w:rsid w:val="000C5A11"/>
    <w:rsid w:val="000D2FAE"/>
    <w:rsid w:val="000E3B62"/>
    <w:rsid w:val="000F3153"/>
    <w:rsid w:val="000F4529"/>
    <w:rsid w:val="00112ED8"/>
    <w:rsid w:val="00134A14"/>
    <w:rsid w:val="001579B0"/>
    <w:rsid w:val="001600DF"/>
    <w:rsid w:val="00161F78"/>
    <w:rsid w:val="0016787B"/>
    <w:rsid w:val="001A0ED0"/>
    <w:rsid w:val="001D4E3F"/>
    <w:rsid w:val="001F58C2"/>
    <w:rsid w:val="0027672C"/>
    <w:rsid w:val="002825BD"/>
    <w:rsid w:val="00297F69"/>
    <w:rsid w:val="002C5FFC"/>
    <w:rsid w:val="002E7E85"/>
    <w:rsid w:val="002F1121"/>
    <w:rsid w:val="00303899"/>
    <w:rsid w:val="0031555B"/>
    <w:rsid w:val="003243AD"/>
    <w:rsid w:val="00377C39"/>
    <w:rsid w:val="003856D6"/>
    <w:rsid w:val="00385FFD"/>
    <w:rsid w:val="003A7EC4"/>
    <w:rsid w:val="003E2589"/>
    <w:rsid w:val="00421C78"/>
    <w:rsid w:val="00440FD9"/>
    <w:rsid w:val="00481AEE"/>
    <w:rsid w:val="00482103"/>
    <w:rsid w:val="004C5551"/>
    <w:rsid w:val="00583A68"/>
    <w:rsid w:val="00591716"/>
    <w:rsid w:val="005D12E1"/>
    <w:rsid w:val="005F24C6"/>
    <w:rsid w:val="00642180"/>
    <w:rsid w:val="00651B34"/>
    <w:rsid w:val="006559BB"/>
    <w:rsid w:val="006664D8"/>
    <w:rsid w:val="00675AC6"/>
    <w:rsid w:val="00697FB4"/>
    <w:rsid w:val="006A3450"/>
    <w:rsid w:val="006D3183"/>
    <w:rsid w:val="006E542A"/>
    <w:rsid w:val="00735113"/>
    <w:rsid w:val="00761679"/>
    <w:rsid w:val="007A315D"/>
    <w:rsid w:val="007B72DA"/>
    <w:rsid w:val="007E25A6"/>
    <w:rsid w:val="007E6617"/>
    <w:rsid w:val="007F0E27"/>
    <w:rsid w:val="007F3DA4"/>
    <w:rsid w:val="00836F0E"/>
    <w:rsid w:val="0084300D"/>
    <w:rsid w:val="00843C95"/>
    <w:rsid w:val="00876472"/>
    <w:rsid w:val="008A4CD1"/>
    <w:rsid w:val="008A4FDF"/>
    <w:rsid w:val="008D38AC"/>
    <w:rsid w:val="00923397"/>
    <w:rsid w:val="00962E30"/>
    <w:rsid w:val="009A0CB0"/>
    <w:rsid w:val="009C17EF"/>
    <w:rsid w:val="009D2E70"/>
    <w:rsid w:val="009E5883"/>
    <w:rsid w:val="009E5FD2"/>
    <w:rsid w:val="009F4908"/>
    <w:rsid w:val="00A111A0"/>
    <w:rsid w:val="00A1224E"/>
    <w:rsid w:val="00A21C3E"/>
    <w:rsid w:val="00A62BDA"/>
    <w:rsid w:val="00A6717B"/>
    <w:rsid w:val="00AA494D"/>
    <w:rsid w:val="00AB4642"/>
    <w:rsid w:val="00AC6E6C"/>
    <w:rsid w:val="00AD7935"/>
    <w:rsid w:val="00B06498"/>
    <w:rsid w:val="00B46777"/>
    <w:rsid w:val="00B46949"/>
    <w:rsid w:val="00B550E9"/>
    <w:rsid w:val="00B6506C"/>
    <w:rsid w:val="00B860AA"/>
    <w:rsid w:val="00B95D51"/>
    <w:rsid w:val="00BC0BB8"/>
    <w:rsid w:val="00BF384F"/>
    <w:rsid w:val="00C21D2A"/>
    <w:rsid w:val="00C467E3"/>
    <w:rsid w:val="00C86EF4"/>
    <w:rsid w:val="00CB740D"/>
    <w:rsid w:val="00CD5604"/>
    <w:rsid w:val="00D33870"/>
    <w:rsid w:val="00D367B7"/>
    <w:rsid w:val="00D403E4"/>
    <w:rsid w:val="00D92200"/>
    <w:rsid w:val="00DC3281"/>
    <w:rsid w:val="00DD0C1B"/>
    <w:rsid w:val="00DF4CD4"/>
    <w:rsid w:val="00E02394"/>
    <w:rsid w:val="00E35226"/>
    <w:rsid w:val="00E6281E"/>
    <w:rsid w:val="00E840F0"/>
    <w:rsid w:val="00ED0889"/>
    <w:rsid w:val="00ED7C87"/>
    <w:rsid w:val="00EE1B30"/>
    <w:rsid w:val="00EE70EC"/>
    <w:rsid w:val="00EF4AF2"/>
    <w:rsid w:val="00EF6910"/>
    <w:rsid w:val="00F16E5C"/>
    <w:rsid w:val="00F252DA"/>
    <w:rsid w:val="00F72A79"/>
    <w:rsid w:val="00FB4E39"/>
    <w:rsid w:val="00FB5919"/>
    <w:rsid w:val="00FC0BB4"/>
    <w:rsid w:val="00FC4E2B"/>
    <w:rsid w:val="00FE20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60FF7"/>
  <w15:chartTrackingRefBased/>
  <w15:docId w15:val="{602D29F9-B539-428E-8B8E-0B2912A9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BF3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F3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F38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F38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F38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F38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F38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F38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F384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384F"/>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BF384F"/>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BF384F"/>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BF384F"/>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BF384F"/>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BF384F"/>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BF384F"/>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BF384F"/>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BF384F"/>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BF3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384F"/>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BF384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F384F"/>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BF384F"/>
    <w:pPr>
      <w:spacing w:before="160"/>
      <w:jc w:val="center"/>
    </w:pPr>
    <w:rPr>
      <w:i/>
      <w:iCs/>
      <w:color w:val="404040" w:themeColor="text1" w:themeTint="BF"/>
    </w:rPr>
  </w:style>
  <w:style w:type="character" w:customStyle="1" w:styleId="CitaCar">
    <w:name w:val="Cita Car"/>
    <w:basedOn w:val="Fuentedeprrafopredeter"/>
    <w:link w:val="Cita"/>
    <w:uiPriority w:val="29"/>
    <w:rsid w:val="00BF384F"/>
    <w:rPr>
      <w:i/>
      <w:iCs/>
      <w:color w:val="404040" w:themeColor="text1" w:themeTint="BF"/>
      <w:lang w:val="es-ES_tradnl"/>
    </w:rPr>
  </w:style>
  <w:style w:type="paragraph" w:styleId="Prrafodelista">
    <w:name w:val="List Paragraph"/>
    <w:basedOn w:val="Normal"/>
    <w:uiPriority w:val="34"/>
    <w:qFormat/>
    <w:rsid w:val="00BF384F"/>
    <w:pPr>
      <w:ind w:left="720"/>
      <w:contextualSpacing/>
    </w:pPr>
  </w:style>
  <w:style w:type="character" w:styleId="nfasisintenso">
    <w:name w:val="Intense Emphasis"/>
    <w:basedOn w:val="Fuentedeprrafopredeter"/>
    <w:uiPriority w:val="21"/>
    <w:qFormat/>
    <w:rsid w:val="00BF384F"/>
    <w:rPr>
      <w:i/>
      <w:iCs/>
      <w:color w:val="0F4761" w:themeColor="accent1" w:themeShade="BF"/>
    </w:rPr>
  </w:style>
  <w:style w:type="paragraph" w:styleId="Citadestacada">
    <w:name w:val="Intense Quote"/>
    <w:basedOn w:val="Normal"/>
    <w:next w:val="Normal"/>
    <w:link w:val="CitadestacadaCar"/>
    <w:uiPriority w:val="30"/>
    <w:qFormat/>
    <w:rsid w:val="00BF3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F384F"/>
    <w:rPr>
      <w:i/>
      <w:iCs/>
      <w:color w:val="0F4761" w:themeColor="accent1" w:themeShade="BF"/>
      <w:lang w:val="es-ES_tradnl"/>
    </w:rPr>
  </w:style>
  <w:style w:type="character" w:styleId="Referenciaintensa">
    <w:name w:val="Intense Reference"/>
    <w:basedOn w:val="Fuentedeprrafopredeter"/>
    <w:uiPriority w:val="32"/>
    <w:qFormat/>
    <w:rsid w:val="00BF384F"/>
    <w:rPr>
      <w:b/>
      <w:bCs/>
      <w:smallCaps/>
      <w:color w:val="0F4761" w:themeColor="accent1" w:themeShade="BF"/>
      <w:spacing w:val="5"/>
    </w:rPr>
  </w:style>
  <w:style w:type="paragraph" w:styleId="Encabezado">
    <w:name w:val="header"/>
    <w:basedOn w:val="Normal"/>
    <w:link w:val="EncabezadoCar"/>
    <w:uiPriority w:val="99"/>
    <w:unhideWhenUsed/>
    <w:rsid w:val="009D2E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2E70"/>
    <w:rPr>
      <w:lang w:val="es-ES_tradnl"/>
    </w:rPr>
  </w:style>
  <w:style w:type="paragraph" w:styleId="Piedepgina">
    <w:name w:val="footer"/>
    <w:basedOn w:val="Normal"/>
    <w:link w:val="PiedepginaCar"/>
    <w:uiPriority w:val="99"/>
    <w:unhideWhenUsed/>
    <w:rsid w:val="009D2E7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2E70"/>
    <w:rPr>
      <w:lang w:val="es-ES_tradnl"/>
    </w:rPr>
  </w:style>
  <w:style w:type="paragraph" w:styleId="Textonotapie">
    <w:name w:val="footnote text"/>
    <w:basedOn w:val="Normal"/>
    <w:link w:val="TextonotapieCar"/>
    <w:uiPriority w:val="99"/>
    <w:semiHidden/>
    <w:unhideWhenUsed/>
    <w:rsid w:val="00FE20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E201F"/>
    <w:rPr>
      <w:sz w:val="20"/>
      <w:szCs w:val="20"/>
      <w:lang w:val="es-ES_tradnl"/>
    </w:rPr>
  </w:style>
  <w:style w:type="character" w:styleId="Refdenotaalpie">
    <w:name w:val="footnote reference"/>
    <w:basedOn w:val="Fuentedeprrafopredeter"/>
    <w:uiPriority w:val="99"/>
    <w:semiHidden/>
    <w:unhideWhenUsed/>
    <w:rsid w:val="00FE20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4.xm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6.xml"/><Relationship Id="rId4"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134474618891685"/>
          <c:y val="0.11122644553151784"/>
          <c:w val="0.5773105076221664"/>
          <c:h val="0.77754710893696433"/>
        </c:manualLayout>
      </c:layout>
      <c:doughnutChart>
        <c:varyColors val="1"/>
        <c:ser>
          <c:idx val="0"/>
          <c:order val="0"/>
          <c:dPt>
            <c:idx val="0"/>
            <c:bubble3D val="0"/>
            <c:spPr>
              <a:solidFill>
                <a:srgbClr val="99CC00"/>
              </a:solidFill>
              <a:ln w="19050">
                <a:solidFill>
                  <a:schemeClr val="lt1"/>
                </a:solidFill>
              </a:ln>
              <a:effectLst/>
            </c:spPr>
            <c:extLst>
              <c:ext xmlns:c16="http://schemas.microsoft.com/office/drawing/2014/chart" uri="{C3380CC4-5D6E-409C-BE32-E72D297353CC}">
                <c16:uniqueId val="{00000001-477F-4E58-A209-BA282A935262}"/>
              </c:ext>
            </c:extLst>
          </c:dPt>
          <c:dPt>
            <c:idx val="1"/>
            <c:bubble3D val="0"/>
            <c:spPr>
              <a:solidFill>
                <a:srgbClr val="00CC99"/>
              </a:solidFill>
              <a:ln w="19050">
                <a:solidFill>
                  <a:schemeClr val="lt1"/>
                </a:solidFill>
              </a:ln>
              <a:effectLst/>
            </c:spPr>
            <c:extLst>
              <c:ext xmlns:c16="http://schemas.microsoft.com/office/drawing/2014/chart" uri="{C3380CC4-5D6E-409C-BE32-E72D297353CC}">
                <c16:uniqueId val="{00000003-477F-4E58-A209-BA282A935262}"/>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5-477F-4E58-A209-BA282A935262}"/>
              </c:ext>
            </c:extLst>
          </c:dPt>
          <c:dPt>
            <c:idx val="3"/>
            <c:bubble3D val="0"/>
            <c:spPr>
              <a:solidFill>
                <a:schemeClr val="accent6">
                  <a:lumMod val="20000"/>
                  <a:lumOff val="80000"/>
                </a:schemeClr>
              </a:solidFill>
              <a:ln w="19050">
                <a:solidFill>
                  <a:schemeClr val="lt1"/>
                </a:solidFill>
              </a:ln>
              <a:effectLst/>
            </c:spPr>
            <c:extLst>
              <c:ext xmlns:c16="http://schemas.microsoft.com/office/drawing/2014/chart" uri="{C3380CC4-5D6E-409C-BE32-E72D297353CC}">
                <c16:uniqueId val="{00000007-477F-4E58-A209-BA282A935262}"/>
              </c:ext>
            </c:extLst>
          </c:dPt>
          <c:dPt>
            <c:idx val="4"/>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9-477F-4E58-A209-BA282A93526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77F-4E58-A209-BA282A935262}"/>
              </c:ext>
            </c:extLst>
          </c:dPt>
          <c:dPt>
            <c:idx val="6"/>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D-477F-4E58-A209-BA282A935262}"/>
              </c:ext>
            </c:extLst>
          </c:dPt>
          <c:dPt>
            <c:idx val="7"/>
            <c:bubble3D val="0"/>
            <c:spPr>
              <a:solidFill>
                <a:srgbClr val="008000"/>
              </a:solidFill>
              <a:ln w="19050">
                <a:noFill/>
              </a:ln>
              <a:effectLst/>
            </c:spPr>
            <c:extLst>
              <c:ext xmlns:c16="http://schemas.microsoft.com/office/drawing/2014/chart" uri="{C3380CC4-5D6E-409C-BE32-E72D297353CC}">
                <c16:uniqueId val="{0000000F-477F-4E58-A209-BA282A935262}"/>
              </c:ext>
            </c:extLst>
          </c:dPt>
          <c:dPt>
            <c:idx val="8"/>
            <c:bubble3D val="0"/>
            <c:spPr>
              <a:solidFill>
                <a:srgbClr val="99FF66"/>
              </a:solidFill>
              <a:ln w="19050">
                <a:solidFill>
                  <a:schemeClr val="lt1"/>
                </a:solidFill>
              </a:ln>
              <a:effectLst/>
            </c:spPr>
            <c:extLst>
              <c:ext xmlns:c16="http://schemas.microsoft.com/office/drawing/2014/chart" uri="{C3380CC4-5D6E-409C-BE32-E72D297353CC}">
                <c16:uniqueId val="{00000011-477F-4E58-A209-BA282A935262}"/>
              </c:ext>
            </c:extLst>
          </c:dPt>
          <c:dLbls>
            <c:dLbl>
              <c:idx val="0"/>
              <c:layout>
                <c:manualLayout>
                  <c:x val="0.19362983034611522"/>
                  <c:y val="-8.4612199708531913E-2"/>
                </c:manualLayout>
              </c:layout>
              <c:tx>
                <c:rich>
                  <a:bodyPr/>
                  <a:lstStyle/>
                  <a:p>
                    <a:r>
                      <a:rPr lang="en-US" sz="700"/>
                      <a:t>Arrendamientos</a:t>
                    </a:r>
                    <a:r>
                      <a:rPr lang="en-US" sz="700" baseline="0"/>
                      <a:t> urbanos y rústicos
</a:t>
                    </a:r>
                    <a:fld id="{F89BE325-E14E-4176-A515-26087A27EFA9}" type="PERCENTAGE">
                      <a:rPr lang="en-US" sz="700" baseline="0"/>
                      <a:pPr/>
                      <a:t>[PORCENTAJE]</a:t>
                    </a:fld>
                    <a:endParaRPr lang="en-US" sz="700"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77F-4E58-A209-BA282A935262}"/>
                </c:ext>
              </c:extLst>
            </c:dLbl>
            <c:dLbl>
              <c:idx val="1"/>
              <c:layout>
                <c:manualLayout>
                  <c:x val="0.25377280881286618"/>
                  <c:y val="5.5791879385472906E-2"/>
                </c:manualLayout>
              </c:layout>
              <c:tx>
                <c:rich>
                  <a:bodyPr/>
                  <a:lstStyle/>
                  <a:p>
                    <a:r>
                      <a:rPr lang="en-US" sz="700"/>
                      <a:t>Contrato de obra (promotor-</a:t>
                    </a:r>
                    <a:r>
                      <a:rPr lang="en-US" sz="700" baseline="0"/>
                      <a:t> </a:t>
                    </a:r>
                    <a:r>
                      <a:rPr lang="en-US" sz="700"/>
                      <a:t>constructor)</a:t>
                    </a:r>
                    <a:r>
                      <a:rPr lang="en-US" sz="700" baseline="0"/>
                      <a:t>
</a:t>
                    </a:r>
                    <a:fld id="{A7BEF609-FB16-4805-9EC8-2A2DBBAD01B4}" type="PERCENTAGE">
                      <a:rPr lang="en-US" sz="700" baseline="0"/>
                      <a:pPr/>
                      <a:t>[PORCENTAJE]</a:t>
                    </a:fld>
                    <a:endParaRPr lang="en-US" sz="700" baseline="0"/>
                  </a:p>
                </c:rich>
              </c:tx>
              <c:showLegendKey val="0"/>
              <c:showVal val="0"/>
              <c:showCatName val="1"/>
              <c:showSerName val="0"/>
              <c:showPercent val="1"/>
              <c:showBubbleSize val="0"/>
              <c:extLst>
                <c:ext xmlns:c15="http://schemas.microsoft.com/office/drawing/2012/chart" uri="{CE6537A1-D6FC-4f65-9D91-7224C49458BB}">
                  <c15:layout>
                    <c:manualLayout>
                      <c:w val="0.17146195925734573"/>
                      <c:h val="0.17393129889340625"/>
                    </c:manualLayout>
                  </c15:layout>
                  <c15:dlblFieldTable/>
                  <c15:showDataLabelsRange val="0"/>
                </c:ext>
                <c:ext xmlns:c16="http://schemas.microsoft.com/office/drawing/2014/chart" uri="{C3380CC4-5D6E-409C-BE32-E72D297353CC}">
                  <c16:uniqueId val="{00000003-477F-4E58-A209-BA282A935262}"/>
                </c:ext>
              </c:extLst>
            </c:dLbl>
            <c:dLbl>
              <c:idx val="2"/>
              <c:layout>
                <c:manualLayout>
                  <c:x val="0.18742973588453513"/>
                  <c:y val="8.6133196171882268E-2"/>
                </c:manualLayout>
              </c:layout>
              <c:tx>
                <c:rich>
                  <a:bodyPr/>
                  <a:lstStyle/>
                  <a:p>
                    <a:r>
                      <a:rPr lang="en-US" sz="700"/>
                      <a:t>Contratos de </a:t>
                    </a:r>
                    <a:r>
                      <a:rPr lang="en-US" sz="700" baseline="0"/>
                      <a:t> colaboración
</a:t>
                    </a:r>
                    <a:fld id="{C0AAF8F4-D314-4EC1-8911-E84F9DD1081C}" type="PERCENTAGE">
                      <a:rPr lang="en-US" sz="700" baseline="0"/>
                      <a:pPr/>
                      <a:t>[PORCENTAJE]</a:t>
                    </a:fld>
                    <a:endParaRPr lang="en-US" sz="700" baseline="0"/>
                  </a:p>
                </c:rich>
              </c:tx>
              <c:showLegendKey val="0"/>
              <c:showVal val="0"/>
              <c:showCatName val="1"/>
              <c:showSerName val="0"/>
              <c:showPercent val="1"/>
              <c:showBubbleSize val="0"/>
              <c:extLst>
                <c:ext xmlns:c15="http://schemas.microsoft.com/office/drawing/2012/chart" uri="{CE6537A1-D6FC-4f65-9D91-7224C49458BB}">
                  <c15:layout>
                    <c:manualLayout>
                      <c:w val="0.16408663856471617"/>
                      <c:h val="0.15107896085609171"/>
                    </c:manualLayout>
                  </c15:layout>
                  <c15:dlblFieldTable/>
                  <c15:showDataLabelsRange val="0"/>
                </c:ext>
                <c:ext xmlns:c16="http://schemas.microsoft.com/office/drawing/2014/chart" uri="{C3380CC4-5D6E-409C-BE32-E72D297353CC}">
                  <c16:uniqueId val="{00000005-477F-4E58-A209-BA282A935262}"/>
                </c:ext>
              </c:extLst>
            </c:dLbl>
            <c:dLbl>
              <c:idx val="3"/>
              <c:layout>
                <c:manualLayout>
                  <c:x val="0.17595531479432441"/>
                  <c:y val="6.0880350345365965E-2"/>
                </c:manualLayout>
              </c:layout>
              <c:tx>
                <c:rich>
                  <a:bodyPr/>
                  <a:lstStyle/>
                  <a:p>
                    <a:r>
                      <a:rPr lang="en-US" sz="700"/>
                      <a:t>Contratos de compraventa mercantil</a:t>
                    </a:r>
                    <a:r>
                      <a:rPr lang="en-US" sz="700" baseline="0"/>
                      <a:t> y entrega de cosas</a:t>
                    </a:r>
                    <a:r>
                      <a:rPr lang="en-US" sz="700"/>
                      <a:t> </a:t>
                    </a:r>
                    <a:r>
                      <a:rPr lang="en-US" sz="700" baseline="0"/>
                      <a:t>
</a:t>
                    </a:r>
                    <a:fld id="{4EEE15BD-8F50-4DA4-AC96-1E6AD8D4D565}" type="PERCENTAGE">
                      <a:rPr lang="en-US" sz="700" baseline="0"/>
                      <a:pPr/>
                      <a:t>[PORCENTAJE]</a:t>
                    </a:fld>
                    <a:endParaRPr lang="en-US" sz="700"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77F-4E58-A209-BA282A935262}"/>
                </c:ext>
              </c:extLst>
            </c:dLbl>
            <c:dLbl>
              <c:idx val="4"/>
              <c:layout>
                <c:manualLayout>
                  <c:x val="0.2121383130403546"/>
                  <c:y val="0.11015560164083034"/>
                </c:manualLayout>
              </c:layout>
              <c:tx>
                <c:rich>
                  <a:bodyPr/>
                  <a:lstStyle/>
                  <a:p>
                    <a:r>
                      <a:rPr lang="en-US" sz="700"/>
                      <a:t>Contratos</a:t>
                    </a:r>
                    <a:r>
                      <a:rPr lang="en-US" sz="700" baseline="0"/>
                      <a:t> de prestación de servicios profesionales y mercantiles
</a:t>
                    </a:r>
                    <a:fld id="{6EAFBD08-10FE-4C6F-95A1-DD53A344DEFC}" type="PERCENTAGE">
                      <a:rPr lang="en-US" sz="700" baseline="0"/>
                      <a:pPr/>
                      <a:t>[PORCENTAJE]</a:t>
                    </a:fld>
                    <a:endParaRPr lang="en-US" sz="700" baseline="0"/>
                  </a:p>
                </c:rich>
              </c:tx>
              <c:showLegendKey val="0"/>
              <c:showVal val="0"/>
              <c:showCatName val="1"/>
              <c:showSerName val="0"/>
              <c:showPercent val="1"/>
              <c:showBubbleSize val="0"/>
              <c:extLst>
                <c:ext xmlns:c15="http://schemas.microsoft.com/office/drawing/2012/chart" uri="{CE6537A1-D6FC-4f65-9D91-7224C49458BB}">
                  <c15:layout>
                    <c:manualLayout>
                      <c:w val="0.26518957729551618"/>
                      <c:h val="0.18156820043081828"/>
                    </c:manualLayout>
                  </c15:layout>
                  <c15:dlblFieldTable/>
                  <c15:showDataLabelsRange val="0"/>
                </c:ext>
                <c:ext xmlns:c16="http://schemas.microsoft.com/office/drawing/2014/chart" uri="{C3380CC4-5D6E-409C-BE32-E72D297353CC}">
                  <c16:uniqueId val="{00000009-477F-4E58-A209-BA282A935262}"/>
                </c:ext>
              </c:extLst>
            </c:dLbl>
            <c:dLbl>
              <c:idx val="5"/>
              <c:layout>
                <c:manualLayout>
                  <c:x val="-0.24257667242453607"/>
                  <c:y val="6.5752864978048692E-2"/>
                </c:manualLayout>
              </c:layout>
              <c:tx>
                <c:rich>
                  <a:bodyPr/>
                  <a:lstStyle/>
                  <a:p>
                    <a:r>
                      <a:rPr lang="en-US" sz="700"/>
                      <a:t>Derecho Bancario y Mercado de valores</a:t>
                    </a:r>
                    <a:r>
                      <a:rPr lang="en-US" sz="700" baseline="0"/>
                      <a:t>
</a:t>
                    </a:r>
                    <a:fld id="{BE223750-5555-447B-86E3-B21224F6475D}" type="PERCENTAGE">
                      <a:rPr lang="en-US" sz="700" baseline="0"/>
                      <a:pPr/>
                      <a:t>[PORCENTAJE]</a:t>
                    </a:fld>
                    <a:endParaRPr lang="en-US" sz="700"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477F-4E58-A209-BA282A935262}"/>
                </c:ext>
              </c:extLst>
            </c:dLbl>
            <c:dLbl>
              <c:idx val="6"/>
              <c:layout>
                <c:manualLayout>
                  <c:x val="-0.29611643517214953"/>
                  <c:y val="-0.13724141069968407"/>
                </c:manualLayout>
              </c:layout>
              <c:tx>
                <c:rich>
                  <a:bodyPr/>
                  <a:lstStyle/>
                  <a:p>
                    <a:r>
                      <a:rPr lang="en-US" sz="700"/>
                      <a:t>Derecho de daños y responsabilidad civil y seguros </a:t>
                    </a:r>
                    <a:r>
                      <a:rPr lang="en-US" sz="700" baseline="0"/>
                      <a:t>
</a:t>
                    </a:r>
                    <a:fld id="{B76F15C1-120E-4CCF-B755-899063CE14F6}" type="PERCENTAGE">
                      <a:rPr lang="en-US" sz="700" baseline="0"/>
                      <a:pPr/>
                      <a:t>[PORCENTAJE]</a:t>
                    </a:fld>
                    <a:endParaRPr lang="en-US" sz="700"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77F-4E58-A209-BA282A935262}"/>
                </c:ext>
              </c:extLst>
            </c:dLbl>
            <c:dLbl>
              <c:idx val="7"/>
              <c:layout>
                <c:manualLayout>
                  <c:x val="-0.17239732917272593"/>
                  <c:y val="-4.3975208699869303E-2"/>
                </c:manualLayout>
              </c:layout>
              <c:tx>
                <c:rich>
                  <a:bodyPr rot="0" spcFirstLastPara="1" vertOverflow="clip" horzOverflow="clip" vert="horz" wrap="square" lIns="38100" tIns="19050" rIns="38100" bIns="19050" anchor="ctr" anchorCtr="1">
                    <a:spAutoFit/>
                  </a:bodyPr>
                  <a:lstStyle/>
                  <a:p>
                    <a:pPr>
                      <a:defRPr sz="7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r>
                      <a:rPr lang="en-US" sz="700"/>
                      <a:t>Derecho societario</a:t>
                    </a:r>
                    <a:r>
                      <a:rPr lang="en-US" sz="700" baseline="0"/>
                      <a:t>
</a:t>
                    </a:r>
                    <a:fld id="{A82C55CA-7112-49A0-851D-3BBE18D06472}" type="PERCENTAGE">
                      <a:rPr lang="en-US" sz="700" baseline="0"/>
                      <a:pPr>
                        <a:defRPr sz="700"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t>[PORCENTAJE]</a:t>
                    </a:fld>
                    <a:endParaRPr lang="en-US" sz="700" baseline="0"/>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F-477F-4E58-A209-BA282A935262}"/>
                </c:ext>
              </c:extLst>
            </c:dLbl>
            <c:dLbl>
              <c:idx val="8"/>
              <c:layout>
                <c:manualLayout>
                  <c:x val="-0.2766989938716467"/>
                  <c:y val="-4.1566725672450677E-2"/>
                </c:manualLayout>
              </c:layout>
              <c:tx>
                <c:rich>
                  <a:bodyPr/>
                  <a:lstStyle/>
                  <a:p>
                    <a:r>
                      <a:rPr lang="en-US" sz="700" baseline="0"/>
                      <a:t>Sucesiones y donaciones </a:t>
                    </a:r>
                  </a:p>
                  <a:p>
                    <a:fld id="{689F9C53-D38B-40B1-8DA6-4C3532736960}" type="PERCENTAGE">
                      <a:rPr lang="en-US" sz="700" baseline="0"/>
                      <a:pPr/>
                      <a:t>[PORCENTAJE]</a:t>
                    </a:fld>
                    <a:endParaRPr lang="es-E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477F-4E58-A209-BA282A93526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'Matèries-objecte'!$K$4:$K$12</c:f>
              <c:strCache>
                <c:ptCount val="9"/>
                <c:pt idx="0">
                  <c:v>Arrendaments urbans i rústics</c:v>
                </c:pt>
                <c:pt idx="1">
                  <c:v>Contracte d'obra (promotor-constructor)</c:v>
                </c:pt>
                <c:pt idx="2">
                  <c:v>Contractes col·laboració</c:v>
                </c:pt>
                <c:pt idx="3">
                  <c:v>Contractes de compravenda mercantil i lliurament de coses</c:v>
                </c:pt>
                <c:pt idx="4">
                  <c:v>Contractes de prestació de serveis professionals i mercantils</c:v>
                </c:pt>
                <c:pt idx="5">
                  <c:v>Dret Bancari i Mercat de Valors</c:v>
                </c:pt>
                <c:pt idx="6">
                  <c:v>Dret de danys i responsabilitat civil i assegurances</c:v>
                </c:pt>
                <c:pt idx="7">
                  <c:v>Dret societari</c:v>
                </c:pt>
                <c:pt idx="8">
                  <c:v>Successions i donacions</c:v>
                </c:pt>
              </c:strCache>
            </c:strRef>
          </c:cat>
          <c:val>
            <c:numRef>
              <c:f>'Matèries-objecte'!$L$4:$L$12</c:f>
              <c:numCache>
                <c:formatCode>General</c:formatCode>
                <c:ptCount val="9"/>
                <c:pt idx="0">
                  <c:v>2</c:v>
                </c:pt>
                <c:pt idx="1">
                  <c:v>3</c:v>
                </c:pt>
                <c:pt idx="2">
                  <c:v>6</c:v>
                </c:pt>
                <c:pt idx="3">
                  <c:v>3</c:v>
                </c:pt>
                <c:pt idx="4">
                  <c:v>6</c:v>
                </c:pt>
                <c:pt idx="5">
                  <c:v>1</c:v>
                </c:pt>
                <c:pt idx="6">
                  <c:v>4</c:v>
                </c:pt>
                <c:pt idx="7">
                  <c:v>15</c:v>
                </c:pt>
                <c:pt idx="8">
                  <c:v>1</c:v>
                </c:pt>
              </c:numCache>
            </c:numRef>
          </c:val>
          <c:extLst>
            <c:ext xmlns:c16="http://schemas.microsoft.com/office/drawing/2014/chart" uri="{C3380CC4-5D6E-409C-BE32-E72D297353CC}">
              <c16:uniqueId val="{00000012-477F-4E58-A209-BA282A935262}"/>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463690209918897"/>
          <c:y val="3.7470794250656983E-2"/>
          <c:w val="0.74018416447944002"/>
          <c:h val="0.84468467505719724"/>
        </c:manualLayout>
      </c:layout>
      <c:barChart>
        <c:barDir val="bar"/>
        <c:grouping val="stacked"/>
        <c:varyColors val="0"/>
        <c:ser>
          <c:idx val="1"/>
          <c:order val="0"/>
          <c:tx>
            <c:strRef>
              <c:f>Durada!$J$57</c:f>
              <c:strCache>
                <c:ptCount val="1"/>
                <c:pt idx="0">
                  <c:v>meses</c:v>
                </c:pt>
              </c:strCache>
            </c:strRef>
          </c:tx>
          <c:spPr>
            <a:solidFill>
              <a:srgbClr val="008000"/>
            </a:solidFill>
            <a:ln>
              <a:noFill/>
            </a:ln>
            <a:effectLst/>
          </c:spPr>
          <c:invertIfNegative val="0"/>
          <c:dLbls>
            <c:dLbl>
              <c:idx val="1"/>
              <c:layout>
                <c:manualLayout>
                  <c:x val="0.17967116774876818"/>
                  <c:y val="1.106151058693222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F7-4C78-BAC4-0D2D14551A88}"/>
                </c:ext>
              </c:extLst>
            </c:dLbl>
            <c:dLbl>
              <c:idx val="3"/>
              <c:layout>
                <c:manualLayout>
                  <c:x val="0.3049462978311920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F7-4C78-BAC4-0D2D14551A88}"/>
                </c:ext>
              </c:extLst>
            </c:dLbl>
            <c:dLbl>
              <c:idx val="5"/>
              <c:layout>
                <c:manualLayout>
                  <c:x val="0.35773993875765531"/>
                  <c:y val="5.9790732436472071E-3"/>
                </c:manualLayout>
              </c:layout>
              <c:dLblPos val="ct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2-ABF7-4C78-BAC4-0D2D14551A8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Durada!$G$58:$H$64</c:f>
              <c:multiLvlStrCache>
                <c:ptCount val="6"/>
                <c:lvl>
                  <c:pt idx="1">
                    <c:v>media acotada</c:v>
                  </c:pt>
                  <c:pt idx="3">
                    <c:v>media acotada</c:v>
                  </c:pt>
                  <c:pt idx="5">
                    <c:v>media acotada</c:v>
                  </c:pt>
                </c:lvl>
                <c:lvl>
                  <c:pt idx="1">
                    <c:v>Prearbitral</c:v>
                  </c:pt>
                  <c:pt idx="3">
                    <c:v>Arbitral </c:v>
                  </c:pt>
                  <c:pt idx="5">
                    <c:v>Total</c:v>
                  </c:pt>
                </c:lvl>
              </c:multiLvlStrCache>
            </c:multiLvlStrRef>
          </c:cat>
          <c:val>
            <c:numRef>
              <c:f>Durada!$J$58:$J$64</c:f>
              <c:numCache>
                <c:formatCode>0.0</c:formatCode>
                <c:ptCount val="7"/>
                <c:pt idx="1">
                  <c:v>3.4250000000000003</c:v>
                </c:pt>
                <c:pt idx="3">
                  <c:v>7.2083333333333348</c:v>
                </c:pt>
                <c:pt idx="5">
                  <c:v>10.591666666666665</c:v>
                </c:pt>
              </c:numCache>
            </c:numRef>
          </c:val>
          <c:extLst>
            <c:ext xmlns:c16="http://schemas.microsoft.com/office/drawing/2014/chart" uri="{C3380CC4-5D6E-409C-BE32-E72D297353CC}">
              <c16:uniqueId val="{00000003-ABF7-4C78-BAC4-0D2D14551A88}"/>
            </c:ext>
          </c:extLst>
        </c:ser>
        <c:dLbls>
          <c:dLblPos val="inEnd"/>
          <c:showLegendKey val="0"/>
          <c:showVal val="1"/>
          <c:showCatName val="0"/>
          <c:showSerName val="0"/>
          <c:showPercent val="0"/>
          <c:showBubbleSize val="0"/>
        </c:dLbls>
        <c:gapWidth val="150"/>
        <c:overlap val="100"/>
        <c:axId val="1038428320"/>
        <c:axId val="1038430240"/>
      </c:barChart>
      <c:catAx>
        <c:axId val="1038428320"/>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crossAx val="1038430240"/>
        <c:crosses val="autoZero"/>
        <c:auto val="1"/>
        <c:lblAlgn val="ctr"/>
        <c:lblOffset val="100"/>
        <c:noMultiLvlLbl val="0"/>
      </c:catAx>
      <c:valAx>
        <c:axId val="1038430240"/>
        <c:scaling>
          <c:orientation val="minMax"/>
        </c:scaling>
        <c:delete val="1"/>
        <c:axPos val="b"/>
        <c:numFmt formatCode="0.0" sourceLinked="1"/>
        <c:majorTickMark val="none"/>
        <c:minorTickMark val="none"/>
        <c:tickLblPos val="nextTo"/>
        <c:crossAx val="103842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6025842035545127"/>
          <c:y val="7.4857157860724957E-2"/>
          <c:w val="0.70912907760389787"/>
          <c:h val="0.78988876451395629"/>
        </c:manualLayout>
      </c:layout>
      <c:barChart>
        <c:barDir val="bar"/>
        <c:grouping val="stacked"/>
        <c:varyColors val="0"/>
        <c:ser>
          <c:idx val="1"/>
          <c:order val="0"/>
          <c:tx>
            <c:strRef>
              <c:f>Durada!$J$90</c:f>
              <c:strCache>
                <c:ptCount val="1"/>
                <c:pt idx="0">
                  <c:v>meses</c:v>
                </c:pt>
              </c:strCache>
            </c:strRef>
          </c:tx>
          <c:spPr>
            <a:solidFill>
              <a:srgbClr val="008000"/>
            </a:solidFill>
            <a:ln>
              <a:noFill/>
            </a:ln>
            <a:effectLst/>
          </c:spPr>
          <c:invertIfNegative val="0"/>
          <c:dLbls>
            <c:dLbl>
              <c:idx val="1"/>
              <c:layout>
                <c:manualLayout>
                  <c:x val="0.34986846704116026"/>
                  <c:y val="6.2305295950155761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0F-4A3D-9422-D65F81B0A21A}"/>
                </c:ext>
              </c:extLst>
            </c:dLbl>
            <c:dLbl>
              <c:idx val="3"/>
              <c:layout>
                <c:manualLayout>
                  <c:x val="0.20284930008748897"/>
                  <c:y val="-4.243778136006664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0F-4A3D-9422-D65F81B0A21A}"/>
                </c:ext>
              </c:extLst>
            </c:dLbl>
            <c:dLbl>
              <c:idx val="5"/>
              <c:layout>
                <c:manualLayout>
                  <c:x val="0.36834295713035881"/>
                  <c:y val="0"/>
                </c:manualLayout>
              </c:layout>
              <c:dLblPos val="ct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2-080F-4A3D-9422-D65F81B0A2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Durada!$G$91:$H$96</c:f>
              <c:multiLvlStrCache>
                <c:ptCount val="6"/>
                <c:lvl>
                  <c:pt idx="1">
                    <c:v>media acotada</c:v>
                  </c:pt>
                  <c:pt idx="3">
                    <c:v>media acotada</c:v>
                  </c:pt>
                  <c:pt idx="5">
                    <c:v>media acotada</c:v>
                  </c:pt>
                </c:lvl>
                <c:lvl>
                  <c:pt idx="1">
                    <c:v>Prearbitral</c:v>
                  </c:pt>
                  <c:pt idx="3">
                    <c:v>Arbitral </c:v>
                  </c:pt>
                  <c:pt idx="5">
                    <c:v>Total</c:v>
                  </c:pt>
                </c:lvl>
              </c:multiLvlStrCache>
            </c:multiLvlStrRef>
          </c:cat>
          <c:val>
            <c:numRef>
              <c:f>Durada!$J$91:$J$96</c:f>
              <c:numCache>
                <c:formatCode>#,##0.0</c:formatCode>
                <c:ptCount val="6"/>
                <c:pt idx="1">
                  <c:v>5.4555555555555557</c:v>
                </c:pt>
                <c:pt idx="3">
                  <c:v>5.3777777777777764</c:v>
                </c:pt>
                <c:pt idx="5">
                  <c:v>10.588888888888889</c:v>
                </c:pt>
              </c:numCache>
            </c:numRef>
          </c:val>
          <c:extLst>
            <c:ext xmlns:c16="http://schemas.microsoft.com/office/drawing/2014/chart" uri="{C3380CC4-5D6E-409C-BE32-E72D297353CC}">
              <c16:uniqueId val="{00000003-080F-4A3D-9422-D65F81B0A21A}"/>
            </c:ext>
          </c:extLst>
        </c:ser>
        <c:dLbls>
          <c:dLblPos val="inEnd"/>
          <c:showLegendKey val="0"/>
          <c:showVal val="1"/>
          <c:showCatName val="0"/>
          <c:showSerName val="0"/>
          <c:showPercent val="0"/>
          <c:showBubbleSize val="0"/>
        </c:dLbls>
        <c:gapWidth val="150"/>
        <c:overlap val="100"/>
        <c:axId val="963843632"/>
        <c:axId val="963842672"/>
      </c:barChart>
      <c:catAx>
        <c:axId val="963843632"/>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963842672"/>
        <c:crosses val="autoZero"/>
        <c:auto val="1"/>
        <c:lblAlgn val="ctr"/>
        <c:lblOffset val="100"/>
        <c:noMultiLvlLbl val="0"/>
      </c:catAx>
      <c:valAx>
        <c:axId val="963842672"/>
        <c:scaling>
          <c:orientation val="minMax"/>
        </c:scaling>
        <c:delete val="1"/>
        <c:axPos val="b"/>
        <c:numFmt formatCode="#,##0.0" sourceLinked="1"/>
        <c:majorTickMark val="none"/>
        <c:minorTickMark val="none"/>
        <c:tickLblPos val="nextTo"/>
        <c:crossAx val="963843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12556497530459"/>
          <c:y val="4.0261779504636164E-2"/>
          <c:w val="0.650675454705542"/>
          <c:h val="0.88935116734862296"/>
        </c:manualLayout>
      </c:layout>
      <c:doughnutChart>
        <c:varyColors val="1"/>
        <c:ser>
          <c:idx val="0"/>
          <c:order val="0"/>
          <c:spPr>
            <a:solidFill>
              <a:srgbClr val="339933"/>
            </a:solidFill>
          </c:spPr>
          <c:dPt>
            <c:idx val="0"/>
            <c:bubble3D val="0"/>
            <c:spPr>
              <a:solidFill>
                <a:srgbClr val="339933"/>
              </a:solidFill>
              <a:ln w="19050">
                <a:solidFill>
                  <a:schemeClr val="lt1"/>
                </a:solidFill>
              </a:ln>
              <a:effectLst/>
            </c:spPr>
            <c:extLst>
              <c:ext xmlns:c16="http://schemas.microsoft.com/office/drawing/2014/chart" uri="{C3380CC4-5D6E-409C-BE32-E72D297353CC}">
                <c16:uniqueId val="{00000001-507D-41F5-B186-A34985F24EC1}"/>
              </c:ext>
            </c:extLst>
          </c:dPt>
          <c:dPt>
            <c:idx val="1"/>
            <c:bubble3D val="0"/>
            <c:spPr>
              <a:solidFill>
                <a:srgbClr val="00CC99"/>
              </a:solidFill>
              <a:ln w="19050">
                <a:solidFill>
                  <a:schemeClr val="lt1"/>
                </a:solidFill>
              </a:ln>
              <a:effectLst/>
            </c:spPr>
            <c:extLst>
              <c:ext xmlns:c16="http://schemas.microsoft.com/office/drawing/2014/chart" uri="{C3380CC4-5D6E-409C-BE32-E72D297353CC}">
                <c16:uniqueId val="{00000003-507D-41F5-B186-A34985F24EC1}"/>
              </c:ext>
            </c:extLst>
          </c:dPt>
          <c:dLbls>
            <c:dLbl>
              <c:idx val="0"/>
              <c:layout>
                <c:manualLayout>
                  <c:x val="0.24093884430580362"/>
                  <c:y val="2.3853568522275328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7D-41F5-B186-A34985F24EC1}"/>
                </c:ext>
              </c:extLst>
            </c:dLbl>
            <c:dLbl>
              <c:idx val="1"/>
              <c:layout>
                <c:manualLayout>
                  <c:x val="-0.23944789648897721"/>
                  <c:y val="-1.68795057823012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7D-41F5-B186-A34985F24EC1}"/>
                </c:ext>
              </c:extLst>
            </c:dLbl>
            <c:spPr>
              <a:solidFill>
                <a:sysClr val="window" lastClr="FFFFFF"/>
              </a:solidFill>
              <a:ln>
                <a:solidFill>
                  <a:srgbClr val="E8E8E8">
                    <a:lumMod val="90000"/>
                  </a:srgb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'Tipus arbitratge'!$C$5:$C$6</c:f>
              <c:strCache>
                <c:ptCount val="2"/>
                <c:pt idx="0">
                  <c:v>Derecho</c:v>
                </c:pt>
                <c:pt idx="1">
                  <c:v>Equidad</c:v>
                </c:pt>
              </c:strCache>
            </c:strRef>
          </c:cat>
          <c:val>
            <c:numRef>
              <c:f>'Tipus arbitratge'!$D$5:$D$6</c:f>
              <c:numCache>
                <c:formatCode>General</c:formatCode>
                <c:ptCount val="2"/>
                <c:pt idx="0">
                  <c:v>27</c:v>
                </c:pt>
                <c:pt idx="1">
                  <c:v>4</c:v>
                </c:pt>
              </c:numCache>
            </c:numRef>
          </c:val>
          <c:extLst>
            <c:ext xmlns:c16="http://schemas.microsoft.com/office/drawing/2014/chart" uri="{C3380CC4-5D6E-409C-BE32-E72D297353CC}">
              <c16:uniqueId val="{00000004-507D-41F5-B186-A34985F24EC1}"/>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698789787823478"/>
          <c:y val="0.18957510391147805"/>
          <c:w val="0.6154895260733918"/>
          <c:h val="0.70659086386764836"/>
        </c:manualLayout>
      </c:layout>
      <c:doughnutChart>
        <c:varyColors val="1"/>
        <c:ser>
          <c:idx val="0"/>
          <c:order val="0"/>
          <c:spPr>
            <a:solidFill>
              <a:srgbClr val="339933"/>
            </a:solidFill>
          </c:spPr>
          <c:dPt>
            <c:idx val="0"/>
            <c:bubble3D val="0"/>
            <c:spPr>
              <a:solidFill>
                <a:srgbClr val="339933"/>
              </a:solidFill>
              <a:ln w="19050">
                <a:solidFill>
                  <a:schemeClr val="lt1"/>
                </a:solidFill>
              </a:ln>
              <a:effectLst/>
            </c:spPr>
            <c:extLst>
              <c:ext xmlns:c16="http://schemas.microsoft.com/office/drawing/2014/chart" uri="{C3380CC4-5D6E-409C-BE32-E72D297353CC}">
                <c16:uniqueId val="{00000001-513B-48BA-9430-7C26096A3257}"/>
              </c:ext>
            </c:extLst>
          </c:dPt>
          <c:dPt>
            <c:idx val="1"/>
            <c:bubble3D val="0"/>
            <c:spPr>
              <a:solidFill>
                <a:srgbClr val="CCFF33"/>
              </a:solidFill>
              <a:ln w="19050">
                <a:solidFill>
                  <a:schemeClr val="lt1"/>
                </a:solidFill>
              </a:ln>
              <a:effectLst/>
            </c:spPr>
            <c:extLst>
              <c:ext xmlns:c16="http://schemas.microsoft.com/office/drawing/2014/chart" uri="{C3380CC4-5D6E-409C-BE32-E72D297353CC}">
                <c16:uniqueId val="{00000003-513B-48BA-9430-7C26096A3257}"/>
              </c:ext>
            </c:extLst>
          </c:dPt>
          <c:dPt>
            <c:idx val="2"/>
            <c:bubble3D val="0"/>
            <c:spPr>
              <a:solidFill>
                <a:srgbClr val="99CC00"/>
              </a:solidFill>
              <a:ln w="19050">
                <a:solidFill>
                  <a:schemeClr val="lt1"/>
                </a:solidFill>
              </a:ln>
              <a:effectLst/>
            </c:spPr>
            <c:extLst>
              <c:ext xmlns:c16="http://schemas.microsoft.com/office/drawing/2014/chart" uri="{C3380CC4-5D6E-409C-BE32-E72D297353CC}">
                <c16:uniqueId val="{00000005-513B-48BA-9430-7C26096A3257}"/>
              </c:ext>
            </c:extLst>
          </c:dPt>
          <c:dPt>
            <c:idx val="3"/>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7-513B-48BA-9430-7C26096A3257}"/>
              </c:ext>
            </c:extLst>
          </c:dPt>
          <c:dLbls>
            <c:dLbl>
              <c:idx val="0"/>
              <c:layout>
                <c:manualLayout>
                  <c:x val="0.14462865052531257"/>
                  <c:y val="0.1332628990996378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13B-48BA-9430-7C26096A3257}"/>
                </c:ext>
              </c:extLst>
            </c:dLbl>
            <c:dLbl>
              <c:idx val="1"/>
              <c:layout>
                <c:manualLayout>
                  <c:x val="-0.14680584235327931"/>
                  <c:y val="0.2052858898966743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13B-48BA-9430-7C26096A3257}"/>
                </c:ext>
              </c:extLst>
            </c:dLbl>
            <c:dLbl>
              <c:idx val="2"/>
              <c:layout>
                <c:manualLayout>
                  <c:x val="-0.14916159065022533"/>
                  <c:y val="-0.16093768062385705"/>
                </c:manualLayout>
              </c:layout>
              <c:showLegendKey val="0"/>
              <c:showVal val="0"/>
              <c:showCatName val="1"/>
              <c:showSerName val="0"/>
              <c:showPercent val="1"/>
              <c:showBubbleSize val="0"/>
              <c:extLst>
                <c:ext xmlns:c15="http://schemas.microsoft.com/office/drawing/2012/chart" uri="{CE6537A1-D6FC-4f65-9D91-7224C49458BB}">
                  <c15:layout>
                    <c:manualLayout>
                      <c:w val="0.23005695042836627"/>
                      <c:h val="0.25189497522196008"/>
                    </c:manualLayout>
                  </c15:layout>
                </c:ext>
                <c:ext xmlns:c16="http://schemas.microsoft.com/office/drawing/2014/chart" uri="{C3380CC4-5D6E-409C-BE32-E72D297353CC}">
                  <c16:uniqueId val="{00000005-513B-48BA-9430-7C26096A3257}"/>
                </c:ext>
              </c:extLst>
            </c:dLbl>
            <c:dLbl>
              <c:idx val="3"/>
              <c:layout>
                <c:manualLayout>
                  <c:x val="0.32608263589692799"/>
                  <c:y val="-8.94097804561433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13B-48BA-9430-7C26096A3257}"/>
                </c:ext>
              </c:extLst>
            </c:dLbl>
            <c:spPr>
              <a:solidFill>
                <a:sysClr val="window" lastClr="FFFFFF"/>
              </a:solidFill>
              <a:ln>
                <a:solidFill>
                  <a:sysClr val="window" lastClr="FFFFFF">
                    <a:lumMod val="8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'Idioma arbitratge'!$C$6:$C$9</c:f>
              <c:strCache>
                <c:ptCount val="4"/>
                <c:pt idx="0">
                  <c:v>Castellano</c:v>
                </c:pt>
                <c:pt idx="1">
                  <c:v>Catalán</c:v>
                </c:pt>
                <c:pt idx="2">
                  <c:v>Castellano y catalán indistintamente</c:v>
                </c:pt>
                <c:pt idx="3">
                  <c:v>Castellano e inglés</c:v>
                </c:pt>
              </c:strCache>
            </c:strRef>
          </c:cat>
          <c:val>
            <c:numRef>
              <c:f>'Idioma arbitratge'!$D$6:$D$9</c:f>
              <c:numCache>
                <c:formatCode>General</c:formatCode>
                <c:ptCount val="4"/>
                <c:pt idx="0">
                  <c:v>21</c:v>
                </c:pt>
                <c:pt idx="1">
                  <c:v>2</c:v>
                </c:pt>
                <c:pt idx="2">
                  <c:v>7</c:v>
                </c:pt>
                <c:pt idx="3">
                  <c:v>1</c:v>
                </c:pt>
              </c:numCache>
            </c:numRef>
          </c:val>
          <c:extLst>
            <c:ext xmlns:c16="http://schemas.microsoft.com/office/drawing/2014/chart" uri="{C3380CC4-5D6E-409C-BE32-E72D297353CC}">
              <c16:uniqueId val="{00000008-513B-48BA-9430-7C26096A3257}"/>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19627985298883"/>
          <c:y val="6.8505958342138393E-2"/>
          <c:w val="0.59019334683059077"/>
          <c:h val="0.78315971297053433"/>
        </c:manualLayout>
      </c:layout>
      <c:doughnutChart>
        <c:varyColors val="1"/>
        <c:ser>
          <c:idx val="0"/>
          <c:order val="0"/>
          <c:spPr>
            <a:solidFill>
              <a:schemeClr val="accent6">
                <a:lumMod val="75000"/>
              </a:schemeClr>
            </a:solidFill>
          </c:spPr>
          <c:dPt>
            <c:idx val="0"/>
            <c:bubble3D val="0"/>
            <c:spPr>
              <a:solidFill>
                <a:srgbClr val="339966"/>
              </a:solidFill>
              <a:ln w="19050">
                <a:solidFill>
                  <a:schemeClr val="lt1"/>
                </a:solidFill>
              </a:ln>
              <a:effectLst/>
            </c:spPr>
            <c:extLst>
              <c:ext xmlns:c16="http://schemas.microsoft.com/office/drawing/2014/chart" uri="{C3380CC4-5D6E-409C-BE32-E72D297353CC}">
                <c16:uniqueId val="{00000001-FD73-4D32-8D23-C9D77BBB4D91}"/>
              </c:ext>
            </c:extLst>
          </c:dPt>
          <c:dPt>
            <c:idx val="1"/>
            <c:bubble3D val="0"/>
            <c:spPr>
              <a:solidFill>
                <a:srgbClr val="99FF66"/>
              </a:solidFill>
              <a:ln w="19050">
                <a:solidFill>
                  <a:schemeClr val="lt1"/>
                </a:solidFill>
              </a:ln>
              <a:effectLst/>
            </c:spPr>
            <c:extLst>
              <c:ext xmlns:c16="http://schemas.microsoft.com/office/drawing/2014/chart" uri="{C3380CC4-5D6E-409C-BE32-E72D297353CC}">
                <c16:uniqueId val="{00000003-FD73-4D32-8D23-C9D77BBB4D91}"/>
              </c:ext>
            </c:extLst>
          </c:dPt>
          <c:dLbls>
            <c:dLbl>
              <c:idx val="0"/>
              <c:layout>
                <c:manualLayout>
                  <c:x val="0.23172649496899403"/>
                  <c:y val="7.1723187460377175E-2"/>
                </c:manualLayout>
              </c:layout>
              <c:tx>
                <c:rich>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r>
                      <a:rPr lang="en-US"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rPr>
                      <a:t>     </a:t>
                    </a:r>
                    <a:fld id="{F9179887-F912-4B5A-84B1-2EFD7B8F1DE3}" type="PERCENTAGE">
                      <a:rPr lang="en-US"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rPr>
                      <a:pPr>
                        <a:defRPr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t>[PORCENTAJE]</a:t>
                    </a:fld>
                    <a:endParaRPr lang="en-US"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endParaRPr>
                  </a:p>
                </c:rich>
              </c:tx>
              <c:spPr>
                <a:xfrm>
                  <a:off x="4266112" y="2364458"/>
                  <a:ext cx="960451" cy="650587"/>
                </a:xfrm>
                <a:solidFill>
                  <a:sysClr val="window" lastClr="FFFFFF"/>
                </a:solidFill>
                <a:ln>
                  <a:noFill/>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n-U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wedgeEllipseCallout">
                      <a:avLst>
                        <a:gd name="adj1" fmla="val -12187"/>
                        <a:gd name="adj2" fmla="val 30664"/>
                      </a:avLst>
                    </a:prstGeom>
                    <a:noFill/>
                    <a:ln>
                      <a:noFill/>
                    </a:ln>
                  </c15:spPr>
                  <c15:layout>
                    <c:manualLayout>
                      <c:w val="0.20250456294088812"/>
                      <c:h val="0.16974797636876487"/>
                    </c:manualLayout>
                  </c15:layout>
                  <c15:dlblFieldTable/>
                  <c15:showDataLabelsRange val="0"/>
                </c:ext>
                <c:ext xmlns:c16="http://schemas.microsoft.com/office/drawing/2014/chart" uri="{C3380CC4-5D6E-409C-BE32-E72D297353CC}">
                  <c16:uniqueId val="{00000001-FD73-4D32-8D23-C9D77BBB4D91}"/>
                </c:ext>
              </c:extLst>
            </c:dLbl>
            <c:dLbl>
              <c:idx val="1"/>
              <c:layout>
                <c:manualLayout>
                  <c:x val="-0.2672044565857839"/>
                  <c:y val="0.22213675922088685"/>
                </c:manualLayout>
              </c:layout>
              <c:spPr>
                <a:xfrm>
                  <a:off x="674531" y="493970"/>
                  <a:ext cx="978691" cy="530951"/>
                </a:xfrm>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wedgeEllipseCallout">
                      <a:avLst>
                        <a:gd name="adj1" fmla="val 33550"/>
                        <a:gd name="adj2" fmla="val -6769"/>
                      </a:avLst>
                    </a:prstGeom>
                    <a:noFill/>
                    <a:ln>
                      <a:noFill/>
                    </a:ln>
                  </c15:spPr>
                  <c15:layout>
                    <c:manualLayout>
                      <c:w val="0.12670453295796952"/>
                      <c:h val="0.13303069390164859"/>
                    </c:manualLayout>
                  </c15:layout>
                </c:ext>
                <c:ext xmlns:c16="http://schemas.microsoft.com/office/drawing/2014/chart" uri="{C3380CC4-5D6E-409C-BE32-E72D297353CC}">
                  <c16:uniqueId val="{00000003-FD73-4D32-8D23-C9D77BBB4D91}"/>
                </c:ext>
              </c:extLst>
            </c:dLbl>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numRef>
              <c:f>Gènere!$D$18:$D$19</c:f>
              <c:numCache>
                <c:formatCode>General</c:formatCode>
                <c:ptCount val="2"/>
              </c:numCache>
            </c:numRef>
          </c:cat>
          <c:val>
            <c:numRef>
              <c:f>Gènere!$E$18:$E$19</c:f>
              <c:numCache>
                <c:formatCode>General</c:formatCode>
                <c:ptCount val="2"/>
                <c:pt idx="0">
                  <c:v>12</c:v>
                </c:pt>
                <c:pt idx="1">
                  <c:v>2</c:v>
                </c:pt>
              </c:numCache>
            </c:numRef>
          </c:val>
          <c:extLst>
            <c:ext xmlns:c16="http://schemas.microsoft.com/office/drawing/2014/chart" uri="{C3380CC4-5D6E-409C-BE32-E72D297353CC}">
              <c16:uniqueId val="{00000004-FD73-4D32-8D23-C9D77BBB4D91}"/>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78474267480052"/>
          <c:y val="0.10340033909994829"/>
          <c:w val="0.69716078021367656"/>
          <c:h val="0.80481996091729413"/>
        </c:manualLayout>
      </c:layout>
      <c:doughnutChart>
        <c:varyColors val="1"/>
        <c:ser>
          <c:idx val="0"/>
          <c:order val="0"/>
          <c:spPr>
            <a:solidFill>
              <a:srgbClr val="339966"/>
            </a:solidFill>
          </c:spPr>
          <c:dPt>
            <c:idx val="0"/>
            <c:bubble3D val="0"/>
            <c:spPr>
              <a:solidFill>
                <a:srgbClr val="339966"/>
              </a:solidFill>
              <a:ln w="19050">
                <a:solidFill>
                  <a:schemeClr val="lt1"/>
                </a:solidFill>
              </a:ln>
              <a:effectLst/>
            </c:spPr>
            <c:extLst>
              <c:ext xmlns:c16="http://schemas.microsoft.com/office/drawing/2014/chart" uri="{C3380CC4-5D6E-409C-BE32-E72D297353CC}">
                <c16:uniqueId val="{00000001-F251-43A6-9493-4BF7B661FDF9}"/>
              </c:ext>
            </c:extLst>
          </c:dPt>
          <c:dPt>
            <c:idx val="1"/>
            <c:bubble3D val="0"/>
            <c:spPr>
              <a:solidFill>
                <a:srgbClr val="99CC00"/>
              </a:solidFill>
              <a:ln w="19050">
                <a:solidFill>
                  <a:schemeClr val="lt1"/>
                </a:solidFill>
              </a:ln>
              <a:effectLst/>
            </c:spPr>
            <c:extLst>
              <c:ext xmlns:c16="http://schemas.microsoft.com/office/drawing/2014/chart" uri="{C3380CC4-5D6E-409C-BE32-E72D297353CC}">
                <c16:uniqueId val="{00000003-F251-43A6-9493-4BF7B661FDF9}"/>
              </c:ext>
            </c:extLst>
          </c:dPt>
          <c:dLbls>
            <c:dLbl>
              <c:idx val="0"/>
              <c:layout>
                <c:manualLayout>
                  <c:x val="0.19112221453904665"/>
                  <c:y val="9.2715231788079305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06470"/>
                        <a:gd name="adj2" fmla="val -95186"/>
                      </a:avLst>
                    </a:prstGeom>
                  </c15:spPr>
                </c:ext>
                <c:ext xmlns:c16="http://schemas.microsoft.com/office/drawing/2014/chart" uri="{C3380CC4-5D6E-409C-BE32-E72D297353CC}">
                  <c16:uniqueId val="{00000001-F251-43A6-9493-4BF7B661FDF9}"/>
                </c:ext>
              </c:extLst>
            </c:dLbl>
            <c:dLbl>
              <c:idx val="1"/>
              <c:layout>
                <c:manualLayout>
                  <c:x val="-0.14158541385646295"/>
                  <c:y val="-0.13492891114431865"/>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8100" tIns="19050" rIns="38100" bIns="19050" anchor="ctr" anchorCtr="1">
                  <a:no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3400"/>
                        <a:gd name="adj2" fmla="val 88245"/>
                      </a:avLst>
                    </a:prstGeom>
                  </c15:spPr>
                  <c15:layout>
                    <c:manualLayout>
                      <c:w val="0.23776384798373232"/>
                      <c:h val="0.18387838381516178"/>
                    </c:manualLayout>
                  </c15:layout>
                </c:ext>
                <c:ext xmlns:c16="http://schemas.microsoft.com/office/drawing/2014/chart" uri="{C3380CC4-5D6E-409C-BE32-E72D297353CC}">
                  <c16:uniqueId val="{00000003-F251-43A6-9493-4BF7B661FDF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'Domèstic-internacional'!$C$4:$C$5</c:f>
              <c:strCache>
                <c:ptCount val="2"/>
                <c:pt idx="0">
                  <c:v>Doméstico</c:v>
                </c:pt>
                <c:pt idx="1">
                  <c:v>Internacional</c:v>
                </c:pt>
              </c:strCache>
            </c:strRef>
          </c:cat>
          <c:val>
            <c:numRef>
              <c:f>'Domèstic-internacional'!$D$4:$D$5</c:f>
              <c:numCache>
                <c:formatCode>General</c:formatCode>
                <c:ptCount val="2"/>
                <c:pt idx="0">
                  <c:v>23</c:v>
                </c:pt>
                <c:pt idx="1">
                  <c:v>8</c:v>
                </c:pt>
              </c:numCache>
            </c:numRef>
          </c:val>
          <c:extLst>
            <c:ext xmlns:c16="http://schemas.microsoft.com/office/drawing/2014/chart" uri="{C3380CC4-5D6E-409C-BE32-E72D297353CC}">
              <c16:uniqueId val="{00000004-F251-43A6-9493-4BF7B661FDF9}"/>
            </c:ext>
          </c:extLst>
        </c:ser>
        <c:dLbls>
          <c:showLegendKey val="0"/>
          <c:showVal val="0"/>
          <c:showCatName val="0"/>
          <c:showSerName val="0"/>
          <c:showPercent val="0"/>
          <c:showBubbleSize val="0"/>
          <c:showLeaderLines val="0"/>
        </c:dLbls>
        <c:firstSliceAng val="0"/>
        <c:holeSize val="75"/>
        <c:extLst>
          <c:ext xmlns:c15="http://schemas.microsoft.com/office/drawing/2012/chart" uri="{02D57815-91ED-43cb-92C2-25804820EDAC}">
            <c15:filteredPieSeries>
              <c15: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6-F251-43A6-9493-4BF7B661FDF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F251-43A6-9493-4BF7B661FDF9}"/>
                    </c:ext>
                  </c:extLst>
                </c:dPt>
                <c:cat>
                  <c:strRef>
                    <c:extLst>
                      <c:ext uri="{02D57815-91ED-43cb-92C2-25804820EDAC}">
                        <c15:formulaRef>
                          <c15:sqref>'Domèstic-internacional'!$C$4:$C$5</c15:sqref>
                        </c15:formulaRef>
                      </c:ext>
                    </c:extLst>
                    <c:strCache>
                      <c:ptCount val="2"/>
                      <c:pt idx="0">
                        <c:v>Doméstico</c:v>
                      </c:pt>
                      <c:pt idx="1">
                        <c:v>Internacional</c:v>
                      </c:pt>
                    </c:strCache>
                  </c:strRef>
                </c:cat>
                <c:val>
                  <c:numRef>
                    <c:extLst>
                      <c:ext uri="{02D57815-91ED-43cb-92C2-25804820EDAC}">
                        <c15:formulaRef>
                          <c15:sqref>'Domèstic-internacional'!$E$4:$E$5</c15:sqref>
                        </c15:formulaRef>
                      </c:ext>
                    </c:extLst>
                    <c:numCache>
                      <c:formatCode>General</c:formatCode>
                      <c:ptCount val="2"/>
                    </c:numCache>
                  </c:numRef>
                </c:val>
                <c:extLst>
                  <c:ext xmlns:c16="http://schemas.microsoft.com/office/drawing/2014/chart" uri="{C3380CC4-5D6E-409C-BE32-E72D297353CC}">
                    <c16:uniqueId val="{00000009-F251-43A6-9493-4BF7B661FDF9}"/>
                  </c:ext>
                </c:extLst>
              </c15:ser>
            </c15:filteredPieSeries>
          </c:ext>
        </c:extLst>
      </c:doughnutChart>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0.22501485719751999"/>
          <c:y val="0.10488827194473031"/>
          <c:w val="0.5681932810790451"/>
          <c:h val="0.75816671852188688"/>
        </c:manualLayout>
      </c:layout>
      <c:doughnutChart>
        <c:varyColors val="1"/>
        <c:ser>
          <c:idx val="0"/>
          <c:order val="0"/>
          <c:tx>
            <c:strRef>
              <c:f>'Compliment laude'!$E$16</c:f>
              <c:strCache>
                <c:ptCount val="1"/>
              </c:strCache>
            </c:strRef>
          </c:tx>
          <c:dPt>
            <c:idx val="0"/>
            <c:bubble3D val="0"/>
            <c:spPr>
              <a:solidFill>
                <a:srgbClr val="339933"/>
              </a:solidFill>
              <a:ln w="19050">
                <a:solidFill>
                  <a:schemeClr val="lt1"/>
                </a:solidFill>
              </a:ln>
              <a:effectLst/>
            </c:spPr>
            <c:extLst>
              <c:ext xmlns:c16="http://schemas.microsoft.com/office/drawing/2014/chart" uri="{C3380CC4-5D6E-409C-BE32-E72D297353CC}">
                <c16:uniqueId val="{00000001-1FFE-4B0A-A461-37F2E039BA6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FFE-4B0A-A461-37F2E039BA6F}"/>
              </c:ext>
            </c:extLst>
          </c:dPt>
          <c:dPt>
            <c:idx val="2"/>
            <c:bubble3D val="0"/>
            <c:spPr>
              <a:solidFill>
                <a:srgbClr val="00CC99"/>
              </a:solidFill>
              <a:ln w="19050">
                <a:solidFill>
                  <a:schemeClr val="lt1"/>
                </a:solidFill>
              </a:ln>
              <a:effectLst/>
            </c:spPr>
            <c:extLst>
              <c:ext xmlns:c16="http://schemas.microsoft.com/office/drawing/2014/chart" uri="{C3380CC4-5D6E-409C-BE32-E72D297353CC}">
                <c16:uniqueId val="{00000005-1FFE-4B0A-A461-37F2E039BA6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FFE-4B0A-A461-37F2E039BA6F}"/>
              </c:ext>
            </c:extLst>
          </c:dPt>
          <c:dPt>
            <c:idx val="4"/>
            <c:bubble3D val="0"/>
            <c:spPr>
              <a:solidFill>
                <a:srgbClr val="CCFF33"/>
              </a:solidFill>
              <a:ln w="19050">
                <a:solidFill>
                  <a:schemeClr val="lt1"/>
                </a:solidFill>
              </a:ln>
              <a:effectLst/>
            </c:spPr>
            <c:extLst>
              <c:ext xmlns:c16="http://schemas.microsoft.com/office/drawing/2014/chart" uri="{C3380CC4-5D6E-409C-BE32-E72D297353CC}">
                <c16:uniqueId val="{00000009-1FFE-4B0A-A461-37F2E039BA6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FFE-4B0A-A461-37F2E039BA6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FFE-4B0A-A461-37F2E039BA6F}"/>
              </c:ext>
            </c:extLst>
          </c:dPt>
          <c:dLbls>
            <c:dLbl>
              <c:idx val="0"/>
              <c:layout>
                <c:manualLayout>
                  <c:x val="0.13369564567526998"/>
                  <c:y val="0.28071352783029779"/>
                </c:manualLayout>
              </c:layout>
              <c:tx>
                <c:rich>
                  <a:bodyPr/>
                  <a:lstStyle/>
                  <a:p>
                    <a:r>
                      <a:rPr lang="en-US"/>
                      <a:t>Laudo cumplido voluntariamente</a:t>
                    </a:r>
                    <a:r>
                      <a:rPr lang="en-US" baseline="0"/>
                      <a:t>
</a:t>
                    </a:r>
                    <a:fld id="{88F7B1B9-E51E-4F6F-AA96-F13710B587EE}"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21704805122594303"/>
                      <c:h val="0.19209088225673915"/>
                    </c:manualLayout>
                  </c15:layout>
                  <c15:dlblFieldTable/>
                  <c15:showDataLabelsRange val="0"/>
                </c:ext>
                <c:ext xmlns:c16="http://schemas.microsoft.com/office/drawing/2014/chart" uri="{C3380CC4-5D6E-409C-BE32-E72D297353CC}">
                  <c16:uniqueId val="{00000001-1FFE-4B0A-A461-37F2E039BA6F}"/>
                </c:ext>
              </c:extLst>
            </c:dLbl>
            <c:dLbl>
              <c:idx val="2"/>
              <c:layout>
                <c:manualLayout>
                  <c:x val="-0.21797985878587564"/>
                  <c:y val="-3.0116188412987594E-2"/>
                </c:manualLayout>
              </c:layout>
              <c:tx>
                <c:rich>
                  <a:bodyPr/>
                  <a:lstStyle/>
                  <a:p>
                    <a:r>
                      <a:rPr lang="en-US"/>
                      <a:t>Laudo impugnado ante el TSJ Cataluña</a:t>
                    </a:r>
                    <a:r>
                      <a:rPr lang="en-US" baseline="0"/>
                      <a:t>
</a:t>
                    </a:r>
                    <a:fld id="{126B529C-51B3-4B94-9543-AD3C9FA6AB55}"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FFE-4B0A-A461-37F2E039BA6F}"/>
                </c:ext>
              </c:extLst>
            </c:dLbl>
            <c:dLbl>
              <c:idx val="4"/>
              <c:layout>
                <c:manualLayout>
                  <c:x val="-0.18627369750793005"/>
                  <c:y val="-8.0309835767966756E-2"/>
                </c:manualLayout>
              </c:layout>
              <c:tx>
                <c:rich>
                  <a:bodyPr/>
                  <a:lstStyle/>
                  <a:p>
                    <a:r>
                      <a:rPr lang="en-US"/>
                      <a:t>Laudo ejecutado judicialmente</a:t>
                    </a:r>
                    <a:r>
                      <a:rPr lang="en-US" baseline="0"/>
                      <a:t>
</a:t>
                    </a:r>
                    <a:fld id="{CF22B21F-167A-4340-A03E-AEA06F694AFB}" type="PERCENTAGE">
                      <a:rPr lang="en-US" baseline="0"/>
                      <a:pPr/>
                      <a:t>[PORCENTAJE]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FFE-4B0A-A461-37F2E039BA6F}"/>
                </c:ext>
              </c:extLst>
            </c:dLbl>
            <c:spPr>
              <a:solidFill>
                <a:sysClr val="window" lastClr="FFFFFF"/>
              </a:solidFill>
              <a:ln>
                <a:solidFill>
                  <a:sysClr val="window" lastClr="FFFFFF">
                    <a:lumMod val="8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'Compliment laude'!$D$17:$D$23</c:f>
              <c:strCache>
                <c:ptCount val="7"/>
                <c:pt idx="0">
                  <c:v>Laude complert voluntariament</c:v>
                </c:pt>
                <c:pt idx="2">
                  <c:v>Laude impugnat davant TSJ Catalunya</c:v>
                </c:pt>
                <c:pt idx="4">
                  <c:v>Laude executat judicialment</c:v>
                </c:pt>
                <c:pt idx="6">
                  <c:v>Laude pendent de compliment</c:v>
                </c:pt>
              </c:strCache>
            </c:strRef>
          </c:cat>
          <c:val>
            <c:numRef>
              <c:f>'Compliment laude'!$E$17:$E$23</c:f>
              <c:numCache>
                <c:formatCode>General</c:formatCode>
                <c:ptCount val="7"/>
                <c:pt idx="0">
                  <c:v>6</c:v>
                </c:pt>
                <c:pt idx="2">
                  <c:v>2</c:v>
                </c:pt>
                <c:pt idx="4">
                  <c:v>3</c:v>
                </c:pt>
              </c:numCache>
            </c:numRef>
          </c:val>
          <c:extLst>
            <c:ext xmlns:c16="http://schemas.microsoft.com/office/drawing/2014/chart" uri="{C3380CC4-5D6E-409C-BE32-E72D297353CC}">
              <c16:uniqueId val="{0000000E-1FFE-4B0A-A461-37F2E039BA6F}"/>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E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43334714739605"/>
          <c:y val="3.2679730152917981E-2"/>
          <c:w val="0.86961538579607378"/>
          <c:h val="0.8623962064751669"/>
        </c:manualLayout>
      </c:layout>
      <c:barChart>
        <c:barDir val="col"/>
        <c:grouping val="clustered"/>
        <c:varyColors val="0"/>
        <c:ser>
          <c:idx val="0"/>
          <c:order val="0"/>
          <c:spPr>
            <a:solidFill>
              <a:srgbClr val="0099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Quantia!$D$22:$D$29</c:f>
              <c:strCache>
                <c:ptCount val="8"/>
                <c:pt idx="0">
                  <c:v>Cuantía total</c:v>
                </c:pt>
                <c:pt idx="1">
                  <c:v>Cuantía media</c:v>
                </c:pt>
                <c:pt idx="2">
                  <c:v>Cuantía total sin variaciones de cuantía</c:v>
                </c:pt>
                <c:pt idx="3">
                  <c:v>Variaciones de cuantía</c:v>
                </c:pt>
                <c:pt idx="4">
                  <c:v>Cuantía mínima</c:v>
                </c:pt>
                <c:pt idx="5">
                  <c:v>Cuantía màxima</c:v>
                </c:pt>
                <c:pt idx="6">
                  <c:v>Cuantía media sin variaciones de cuantía</c:v>
                </c:pt>
                <c:pt idx="7">
                  <c:v>Cuantía media con variaciones de  cuantía</c:v>
                </c:pt>
              </c:strCache>
            </c:strRef>
          </c:cat>
          <c:val>
            <c:numRef>
              <c:f>Quantia!$E$22:$E$29</c:f>
              <c:numCache>
                <c:formatCode>#,##0.00\ "€";[Red]#,##0.00\ "€"</c:formatCode>
                <c:ptCount val="8"/>
                <c:pt idx="0">
                  <c:v>21975942.649999999</c:v>
                </c:pt>
                <c:pt idx="1">
                  <c:v>646351.25441176456</c:v>
                </c:pt>
                <c:pt idx="2">
                  <c:v>16835769</c:v>
                </c:pt>
                <c:pt idx="3">
                  <c:v>5140173.6500000004</c:v>
                </c:pt>
                <c:pt idx="4">
                  <c:v>2995.68</c:v>
                </c:pt>
                <c:pt idx="5">
                  <c:v>7398562.8099999996</c:v>
                </c:pt>
                <c:pt idx="6">
                  <c:v>543089.32258064521</c:v>
                </c:pt>
                <c:pt idx="7">
                  <c:v>646351.25441176468</c:v>
                </c:pt>
              </c:numCache>
            </c:numRef>
          </c:val>
          <c:extLst>
            <c:ext xmlns:c16="http://schemas.microsoft.com/office/drawing/2014/chart" uri="{C3380CC4-5D6E-409C-BE32-E72D297353CC}">
              <c16:uniqueId val="{00000000-F9B4-407C-9B23-8C88554C9FC7}"/>
            </c:ext>
          </c:extLst>
        </c:ser>
        <c:dLbls>
          <c:dLblPos val="outEnd"/>
          <c:showLegendKey val="0"/>
          <c:showVal val="1"/>
          <c:showCatName val="0"/>
          <c:showSerName val="0"/>
          <c:showPercent val="0"/>
          <c:showBubbleSize val="0"/>
        </c:dLbls>
        <c:gapWidth val="219"/>
        <c:overlap val="-27"/>
        <c:axId val="883831104"/>
        <c:axId val="883827264"/>
      </c:barChart>
      <c:catAx>
        <c:axId val="88383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j-lt"/>
                <a:ea typeface="+mn-ea"/>
                <a:cs typeface="+mn-cs"/>
              </a:defRPr>
            </a:pPr>
            <a:endParaRPr lang="es-ES"/>
          </a:p>
        </c:txPr>
        <c:crossAx val="883827264"/>
        <c:crosses val="autoZero"/>
        <c:auto val="1"/>
        <c:lblAlgn val="ctr"/>
        <c:lblOffset val="100"/>
        <c:noMultiLvlLbl val="0"/>
      </c:catAx>
      <c:valAx>
        <c:axId val="883827264"/>
        <c:scaling>
          <c:orientation val="minMax"/>
        </c:scaling>
        <c:delete val="0"/>
        <c:axPos val="l"/>
        <c:numFmt formatCode="#,##0.00\ &quot;€&quot;;[Red]#,##0.00\ &quot;€&quot;"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crossAx val="883831104"/>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1"/>
          <c:order val="0"/>
          <c:spPr>
            <a:solidFill>
              <a:srgbClr val="00B050"/>
            </a:solidFill>
            <a:ln>
              <a:noFill/>
            </a:ln>
            <a:effectLst/>
          </c:spPr>
          <c:invertIfNegative val="0"/>
          <c:dLbls>
            <c:dLbl>
              <c:idx val="0"/>
              <c:layout>
                <c:manualLayout>
                  <c:x val="3.4818222751474941E-2"/>
                  <c:y val="-1.283157406400501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5E-489F-AE7B-DE7F88E64C68}"/>
                </c:ext>
              </c:extLst>
            </c:dLbl>
            <c:dLbl>
              <c:idx val="1"/>
              <c:layout>
                <c:manualLayout>
                  <c:x val="0.10445466825442493"/>
                  <c:y val="-1.283157406400501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5E-489F-AE7B-DE7F88E64C68}"/>
                </c:ext>
              </c:extLst>
            </c:dLbl>
            <c:dLbl>
              <c:idx val="2"/>
              <c:layout>
                <c:manualLayout>
                  <c:x val="3.686635350156169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25E-489F-AE7B-DE7F88E64C68}"/>
                </c:ext>
              </c:extLst>
            </c:dLbl>
            <c:dLbl>
              <c:idx val="3"/>
              <c:layout>
                <c:manualLayout>
                  <c:x val="7.782896850329701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25E-489F-AE7B-DE7F88E64C68}"/>
                </c:ext>
              </c:extLst>
            </c:dLbl>
            <c:dLbl>
              <c:idx val="4"/>
              <c:layout>
                <c:manualLayout>
                  <c:x val="0.180235506007635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5E-489F-AE7B-DE7F88E64C68}"/>
                </c:ext>
              </c:extLst>
            </c:dLbl>
            <c:dLbl>
              <c:idx val="5"/>
              <c:layout>
                <c:manualLayout>
                  <c:x val="0.1618023292568543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25E-489F-AE7B-DE7F88E64C68}"/>
                </c:ext>
              </c:extLst>
            </c:dLbl>
            <c:dLbl>
              <c:idx val="6"/>
              <c:layout>
                <c:manualLayout>
                  <c:x val="0.2457756900104115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25E-489F-AE7B-DE7F88E64C68}"/>
                </c:ext>
              </c:extLst>
            </c:dLbl>
            <c:dLbl>
              <c:idx val="7"/>
              <c:layout>
                <c:manualLayout>
                  <c:x val="0.38300045026622476"/>
                  <c:y val="-3.207893516001253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25E-489F-AE7B-DE7F88E64C68}"/>
                </c:ext>
              </c:extLst>
            </c:dLbl>
            <c:dLbl>
              <c:idx val="8"/>
              <c:layout>
                <c:manualLayout>
                  <c:x val="7.578083775321020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25E-489F-AE7B-DE7F88E64C68}"/>
                </c:ext>
              </c:extLst>
            </c:dLbl>
            <c:dLbl>
              <c:idx val="9"/>
              <c:layout>
                <c:manualLayout>
                  <c:x val="0.17204298300728796"/>
                  <c:y val="-8.0197337900031341E-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25E-489F-AE7B-DE7F88E64C68}"/>
                </c:ext>
              </c:extLst>
            </c:dLbl>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'Trams quantia'!$G$3:$G$12</c:f>
              <c:strCache>
                <c:ptCount val="10"/>
                <c:pt idx="0">
                  <c:v>Fines a 2.000,00€</c:v>
                </c:pt>
                <c:pt idx="1">
                  <c:v>de 2.001,00€ a 12.000,00€</c:v>
                </c:pt>
                <c:pt idx="2">
                  <c:v>de 12.001,00€ a 16.000,00€</c:v>
                </c:pt>
                <c:pt idx="3">
                  <c:v>de 16.001,00€ a 20.000,00€</c:v>
                </c:pt>
                <c:pt idx="4">
                  <c:v>de 20.001,00€ a 45.000,00€</c:v>
                </c:pt>
                <c:pt idx="5">
                  <c:v>de 45.001,00€ a 90.000,00€</c:v>
                </c:pt>
                <c:pt idx="6">
                  <c:v>de 90.001,00€ a 180.000,00€</c:v>
                </c:pt>
                <c:pt idx="7">
                  <c:v>de 180.001,00€ a 600.000,00€</c:v>
                </c:pt>
                <c:pt idx="8">
                  <c:v>de 600.001,00€ a 1.500.000,00€</c:v>
                </c:pt>
                <c:pt idx="9">
                  <c:v>superior a 1.500.000,00€</c:v>
                </c:pt>
              </c:strCache>
            </c:strRef>
          </c:cat>
          <c:val>
            <c:numRef>
              <c:f>'Trams quantia'!$I$3:$I$12</c:f>
              <c:numCache>
                <c:formatCode>0%</c:formatCode>
                <c:ptCount val="10"/>
                <c:pt idx="0">
                  <c:v>0</c:v>
                </c:pt>
                <c:pt idx="1">
                  <c:v>6.4516129032258063E-2</c:v>
                </c:pt>
                <c:pt idx="2">
                  <c:v>0</c:v>
                </c:pt>
                <c:pt idx="3">
                  <c:v>3.2258064516129031E-2</c:v>
                </c:pt>
                <c:pt idx="4">
                  <c:v>0.12903225806451613</c:v>
                </c:pt>
                <c:pt idx="5">
                  <c:v>9.6774193548387094E-2</c:v>
                </c:pt>
                <c:pt idx="6">
                  <c:v>0.19354838709677419</c:v>
                </c:pt>
                <c:pt idx="7">
                  <c:v>0.32258064516129031</c:v>
                </c:pt>
                <c:pt idx="8">
                  <c:v>3.2258064516129031E-2</c:v>
                </c:pt>
                <c:pt idx="9">
                  <c:v>0.12903225806451613</c:v>
                </c:pt>
              </c:numCache>
            </c:numRef>
          </c:val>
          <c:extLst>
            <c:ext xmlns:c16="http://schemas.microsoft.com/office/drawing/2014/chart" uri="{C3380CC4-5D6E-409C-BE32-E72D297353CC}">
              <c16:uniqueId val="{0000000A-225E-489F-AE7B-DE7F88E64C68}"/>
            </c:ext>
          </c:extLst>
        </c:ser>
        <c:dLbls>
          <c:showLegendKey val="0"/>
          <c:showVal val="0"/>
          <c:showCatName val="0"/>
          <c:showSerName val="0"/>
          <c:showPercent val="0"/>
          <c:showBubbleSize val="0"/>
        </c:dLbls>
        <c:gapWidth val="150"/>
        <c:overlap val="100"/>
        <c:axId val="348308288"/>
        <c:axId val="348309248"/>
      </c:barChart>
      <c:catAx>
        <c:axId val="34830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crossAx val="348309248"/>
        <c:crosses val="autoZero"/>
        <c:auto val="1"/>
        <c:lblAlgn val="ctr"/>
        <c:lblOffset val="100"/>
        <c:noMultiLvlLbl val="0"/>
      </c:catAx>
      <c:valAx>
        <c:axId val="348309248"/>
        <c:scaling>
          <c:orientation val="minMax"/>
        </c:scaling>
        <c:delete val="1"/>
        <c:axPos val="b"/>
        <c:numFmt formatCode="0%" sourceLinked="1"/>
        <c:majorTickMark val="none"/>
        <c:minorTickMark val="none"/>
        <c:tickLblPos val="nextTo"/>
        <c:crossAx val="3483082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394134636441391"/>
          <c:y val="0"/>
          <c:w val="0.54605865363558614"/>
          <c:h val="0.87740317637224852"/>
        </c:manualLayout>
      </c:layout>
      <c:barChart>
        <c:barDir val="bar"/>
        <c:grouping val="stacked"/>
        <c:varyColors val="0"/>
        <c:ser>
          <c:idx val="1"/>
          <c:order val="0"/>
          <c:spPr>
            <a:solidFill>
              <a:srgbClr val="00B050"/>
            </a:solidFill>
            <a:ln>
              <a:noFill/>
            </a:ln>
            <a:effectLst/>
          </c:spPr>
          <c:invertIfNegative val="0"/>
          <c:dLbls>
            <c:dLbl>
              <c:idx val="0"/>
              <c:layout>
                <c:manualLayout>
                  <c:x val="0.1805328364755455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7A-4E77-BA43-436BAE427B7E}"/>
                </c:ext>
              </c:extLst>
            </c:dLbl>
            <c:dLbl>
              <c:idx val="1"/>
              <c:layout>
                <c:manualLayout>
                  <c:x val="0.13920604258355318"/>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7A-4E77-BA43-436BAE427B7E}"/>
                </c:ext>
              </c:extLst>
            </c:dLbl>
            <c:dLbl>
              <c:idx val="2"/>
              <c:layout>
                <c:manualLayout>
                  <c:x val="0.24796076335195416"/>
                  <c:y val="-8.25593395252837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7A-4E77-BA43-436BAE427B7E}"/>
                </c:ext>
              </c:extLst>
            </c:dLbl>
            <c:dLbl>
              <c:idx val="3"/>
              <c:layout>
                <c:manualLayout>
                  <c:x val="0.37629133385866714"/>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7A-4E77-BA43-436BAE427B7E}"/>
                </c:ext>
              </c:extLst>
            </c:dLbl>
            <c:dLbl>
              <c:idx val="4"/>
              <c:layout>
                <c:manualLayout>
                  <c:x val="0.17835774206017749"/>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7A-4E77-BA43-436BAE427B7E}"/>
                </c:ext>
              </c:extLst>
            </c:dLbl>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'Trams quantia'!$N$3:$N$7</c:f>
              <c:strCache>
                <c:ptCount val="5"/>
                <c:pt idx="0">
                  <c:v>de 20.001,00€ a 45.000,00€</c:v>
                </c:pt>
                <c:pt idx="1">
                  <c:v>de 45.001,00€ a 90.000,00€</c:v>
                </c:pt>
                <c:pt idx="2">
                  <c:v>de 90.001,00€ a 180.000,00€</c:v>
                </c:pt>
                <c:pt idx="3">
                  <c:v>de 180.001,-€ a 600.000,-€</c:v>
                </c:pt>
                <c:pt idx="4">
                  <c:v>superior a 1.500.000,00€</c:v>
                </c:pt>
              </c:strCache>
            </c:strRef>
          </c:cat>
          <c:val>
            <c:numRef>
              <c:f>'Trams quantia'!$P$3:$P$7</c:f>
              <c:numCache>
                <c:formatCode>0%</c:formatCode>
                <c:ptCount val="5"/>
                <c:pt idx="0">
                  <c:v>0.12903225806451613</c:v>
                </c:pt>
                <c:pt idx="1">
                  <c:v>9.6774193548387094E-2</c:v>
                </c:pt>
                <c:pt idx="2">
                  <c:v>0.19354838709677419</c:v>
                </c:pt>
                <c:pt idx="3">
                  <c:v>0.32258064516129031</c:v>
                </c:pt>
                <c:pt idx="4">
                  <c:v>0.12903225806451613</c:v>
                </c:pt>
              </c:numCache>
            </c:numRef>
          </c:val>
          <c:extLst>
            <c:ext xmlns:c16="http://schemas.microsoft.com/office/drawing/2014/chart" uri="{C3380CC4-5D6E-409C-BE32-E72D297353CC}">
              <c16:uniqueId val="{00000005-4D7A-4E77-BA43-436BAE427B7E}"/>
            </c:ext>
          </c:extLst>
        </c:ser>
        <c:dLbls>
          <c:showLegendKey val="0"/>
          <c:showVal val="0"/>
          <c:showCatName val="0"/>
          <c:showSerName val="0"/>
          <c:showPercent val="0"/>
          <c:showBubbleSize val="0"/>
        </c:dLbls>
        <c:gapWidth val="150"/>
        <c:overlap val="100"/>
        <c:axId val="1563544544"/>
        <c:axId val="1563543584"/>
      </c:barChart>
      <c:catAx>
        <c:axId val="1563544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crossAx val="1563543584"/>
        <c:crosses val="autoZero"/>
        <c:auto val="1"/>
        <c:lblAlgn val="ctr"/>
        <c:lblOffset val="100"/>
        <c:noMultiLvlLbl val="0"/>
      </c:catAx>
      <c:valAx>
        <c:axId val="1563543584"/>
        <c:scaling>
          <c:orientation val="minMax"/>
        </c:scaling>
        <c:delete val="1"/>
        <c:axPos val="b"/>
        <c:numFmt formatCode="0%" sourceLinked="1"/>
        <c:majorTickMark val="none"/>
        <c:minorTickMark val="none"/>
        <c:tickLblPos val="nextTo"/>
        <c:crossAx val="15635445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spPr>
            <a:solidFill>
              <a:srgbClr val="00B050"/>
            </a:solidFill>
            <a:ln>
              <a:noFill/>
            </a:ln>
            <a:effectLst/>
          </c:spPr>
          <c:invertIfNegative val="0"/>
          <c:cat>
            <c:strRef>
              <c:f>Moda!$L$20:$L$23</c:f>
              <c:strCache>
                <c:ptCount val="4"/>
                <c:pt idx="0">
                  <c:v>de 20.001,00€ a 45.000,00€</c:v>
                </c:pt>
                <c:pt idx="1">
                  <c:v>de 90.001,00€ a 180.000,00€</c:v>
                </c:pt>
                <c:pt idx="2">
                  <c:v>de 180.001,00€ a 600.000,00€</c:v>
                </c:pt>
                <c:pt idx="3">
                  <c:v>superior a 1.500.000,00€</c:v>
                </c:pt>
              </c:strCache>
            </c:strRef>
          </c:cat>
          <c:val>
            <c:numRef>
              <c:f>Moda!$M$20:$M$23</c:f>
              <c:numCache>
                <c:formatCode>General</c:formatCode>
                <c:ptCount val="4"/>
                <c:pt idx="0">
                  <c:v>4</c:v>
                </c:pt>
                <c:pt idx="1">
                  <c:v>6</c:v>
                </c:pt>
                <c:pt idx="2">
                  <c:v>10</c:v>
                </c:pt>
                <c:pt idx="3">
                  <c:v>4</c:v>
                </c:pt>
              </c:numCache>
            </c:numRef>
          </c:val>
          <c:extLst>
            <c:ext xmlns:c16="http://schemas.microsoft.com/office/drawing/2014/chart" uri="{C3380CC4-5D6E-409C-BE32-E72D297353CC}">
              <c16:uniqueId val="{00000000-4CBC-4724-A503-84A5471509DE}"/>
            </c:ext>
          </c:extLst>
        </c:ser>
        <c:ser>
          <c:idx val="1"/>
          <c:order val="1"/>
          <c:spPr>
            <a:noFill/>
            <a:ln>
              <a:noFill/>
            </a:ln>
            <a:effectLst/>
          </c:spPr>
          <c:invertIfNegative val="0"/>
          <c:dLbls>
            <c:dLbl>
              <c:idx val="0"/>
              <c:layout>
                <c:manualLayout>
                  <c:x val="7.603827646544182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BC-4724-A503-84A5471509DE}"/>
                </c:ext>
              </c:extLst>
            </c:dLbl>
            <c:dLbl>
              <c:idx val="1"/>
              <c:layout>
                <c:manualLayout>
                  <c:x val="7.222790901137357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CBC-4724-A503-84A5471509DE}"/>
                </c:ext>
              </c:extLst>
            </c:dLbl>
            <c:dLbl>
              <c:idx val="2"/>
              <c:layout>
                <c:manualLayout>
                  <c:x val="4.0680164979377584E-2"/>
                  <c:y val="3.4469537610797504E-3"/>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9.8951693538307711E-2"/>
                      <c:h val="9.5419716796000281E-2"/>
                    </c:manualLayout>
                  </c15:layout>
                </c:ext>
                <c:ext xmlns:c16="http://schemas.microsoft.com/office/drawing/2014/chart" uri="{C3380CC4-5D6E-409C-BE32-E72D297353CC}">
                  <c16:uniqueId val="{00000003-4CBC-4724-A503-84A5471509DE}"/>
                </c:ext>
              </c:extLst>
            </c:dLbl>
            <c:dLbl>
              <c:idx val="3"/>
              <c:layout>
                <c:manualLayout>
                  <c:x val="7.2266431591686719E-2"/>
                  <c:y val="4.6296296296296294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CBC-4724-A503-84A5471509DE}"/>
                </c:ext>
              </c:extLst>
            </c:dLbl>
            <c:spPr>
              <a:solidFill>
                <a:sysClr val="window" lastClr="FFFFFF"/>
              </a:solid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Moda!$L$20:$L$23</c:f>
              <c:strCache>
                <c:ptCount val="4"/>
                <c:pt idx="0">
                  <c:v>de 20.001,00€ a 45.000,00€</c:v>
                </c:pt>
                <c:pt idx="1">
                  <c:v>de 90.001,00€ a 180.000,00€</c:v>
                </c:pt>
                <c:pt idx="2">
                  <c:v>de 180.001,00€ a 600.000,00€</c:v>
                </c:pt>
                <c:pt idx="3">
                  <c:v>superior a 1.500.000,00€</c:v>
                </c:pt>
              </c:strCache>
            </c:strRef>
          </c:cat>
          <c:val>
            <c:numRef>
              <c:f>Moda!$N$20:$N$23</c:f>
              <c:numCache>
                <c:formatCode>0%</c:formatCode>
                <c:ptCount val="4"/>
                <c:pt idx="0">
                  <c:v>0.12903225806451613</c:v>
                </c:pt>
                <c:pt idx="1">
                  <c:v>0.19354838709677419</c:v>
                </c:pt>
                <c:pt idx="2">
                  <c:v>0.32258064516129031</c:v>
                </c:pt>
                <c:pt idx="3">
                  <c:v>0.12903225806451613</c:v>
                </c:pt>
              </c:numCache>
            </c:numRef>
          </c:val>
          <c:extLst>
            <c:ext xmlns:c16="http://schemas.microsoft.com/office/drawing/2014/chart" uri="{C3380CC4-5D6E-409C-BE32-E72D297353CC}">
              <c16:uniqueId val="{00000005-4CBC-4724-A503-84A5471509DE}"/>
            </c:ext>
          </c:extLst>
        </c:ser>
        <c:dLbls>
          <c:showLegendKey val="0"/>
          <c:showVal val="0"/>
          <c:showCatName val="0"/>
          <c:showSerName val="0"/>
          <c:showPercent val="0"/>
          <c:showBubbleSize val="0"/>
        </c:dLbls>
        <c:gapWidth val="150"/>
        <c:overlap val="100"/>
        <c:axId val="566663936"/>
        <c:axId val="566663456"/>
      </c:barChart>
      <c:catAx>
        <c:axId val="56666393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566663456"/>
        <c:crosses val="autoZero"/>
        <c:auto val="1"/>
        <c:lblAlgn val="ctr"/>
        <c:lblOffset val="100"/>
        <c:noMultiLvlLbl val="0"/>
      </c:catAx>
      <c:valAx>
        <c:axId val="566663456"/>
        <c:scaling>
          <c:orientation val="minMax"/>
        </c:scaling>
        <c:delete val="1"/>
        <c:axPos val="b"/>
        <c:numFmt formatCode="General" sourceLinked="1"/>
        <c:majorTickMark val="out"/>
        <c:minorTickMark val="none"/>
        <c:tickLblPos val="nextTo"/>
        <c:crossAx val="5666639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1"/>
          <c:order val="0"/>
          <c:tx>
            <c:strRef>
              <c:f>Moda!$S$22</c:f>
              <c:strCache>
                <c:ptCount val="1"/>
                <c:pt idx="0">
                  <c:v>Percentatge</c:v>
                </c:pt>
              </c:strCache>
            </c:strRef>
          </c:tx>
          <c:spPr>
            <a:solidFill>
              <a:srgbClr val="009900"/>
            </a:solidFill>
            <a:ln>
              <a:noFill/>
            </a:ln>
            <a:effectLst/>
          </c:spPr>
          <c:invertIfNegative val="0"/>
          <c:dLbls>
            <c:dLbl>
              <c:idx val="0"/>
              <c:layout>
                <c:manualLayout>
                  <c:x val="0.3194444444444445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27-4FD8-9B73-5B20145C2C97}"/>
                </c:ext>
              </c:extLst>
            </c:dLbl>
            <c:dLbl>
              <c:idx val="1"/>
              <c:layout>
                <c:manualLayout>
                  <c:x val="0.3194444444444445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27-4FD8-9B73-5B20145C2C97}"/>
                </c:ext>
              </c:extLst>
            </c:dLbl>
            <c:dLbl>
              <c:idx val="2"/>
              <c:layout>
                <c:manualLayout>
                  <c:x val="0.16666666666666657"/>
                  <c:y val="-4.6296296296296294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27-4FD8-9B73-5B20145C2C9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Moda!$Q$23:$Q$25</c:f>
              <c:strCache>
                <c:ptCount val="3"/>
                <c:pt idx="0">
                  <c:v>de 20.001,00€ a 180.000,00€</c:v>
                </c:pt>
                <c:pt idx="1">
                  <c:v>de 180.001,00€ a 600.000,00€</c:v>
                </c:pt>
                <c:pt idx="2">
                  <c:v>superior a 1.500.000,00€</c:v>
                </c:pt>
              </c:strCache>
            </c:strRef>
          </c:cat>
          <c:val>
            <c:numRef>
              <c:f>Moda!$S$23:$S$25</c:f>
              <c:numCache>
                <c:formatCode>0%</c:formatCode>
                <c:ptCount val="3"/>
                <c:pt idx="0">
                  <c:v>0.32</c:v>
                </c:pt>
                <c:pt idx="1">
                  <c:v>0.32</c:v>
                </c:pt>
                <c:pt idx="2">
                  <c:v>0.13</c:v>
                </c:pt>
              </c:numCache>
            </c:numRef>
          </c:val>
          <c:extLst>
            <c:ext xmlns:c16="http://schemas.microsoft.com/office/drawing/2014/chart" uri="{C3380CC4-5D6E-409C-BE32-E72D297353CC}">
              <c16:uniqueId val="{00000003-F227-4FD8-9B73-5B20145C2C97}"/>
            </c:ext>
          </c:extLst>
        </c:ser>
        <c:dLbls>
          <c:dLblPos val="ctr"/>
          <c:showLegendKey val="0"/>
          <c:showVal val="1"/>
          <c:showCatName val="0"/>
          <c:showSerName val="0"/>
          <c:showPercent val="0"/>
          <c:showBubbleSize val="0"/>
        </c:dLbls>
        <c:gapWidth val="150"/>
        <c:overlap val="100"/>
        <c:axId val="98021119"/>
        <c:axId val="98018239"/>
      </c:barChart>
      <c:catAx>
        <c:axId val="980211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j-lt"/>
                <a:ea typeface="+mn-ea"/>
                <a:cs typeface="+mn-cs"/>
              </a:defRPr>
            </a:pPr>
            <a:endParaRPr lang="es-ES"/>
          </a:p>
        </c:txPr>
        <c:crossAx val="98018239"/>
        <c:crosses val="autoZero"/>
        <c:auto val="1"/>
        <c:lblAlgn val="ctr"/>
        <c:lblOffset val="100"/>
        <c:noMultiLvlLbl val="0"/>
      </c:catAx>
      <c:valAx>
        <c:axId val="98018239"/>
        <c:scaling>
          <c:orientation val="minMax"/>
        </c:scaling>
        <c:delete val="1"/>
        <c:axPos val="b"/>
        <c:numFmt formatCode="0%" sourceLinked="1"/>
        <c:majorTickMark val="none"/>
        <c:minorTickMark val="none"/>
        <c:tickLblPos val="nextTo"/>
        <c:crossAx val="9802111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r>
              <a:rPr lang="es-ES" sz="1200"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rPr>
              <a:t>Cuantía</a:t>
            </a:r>
            <a:r>
              <a:rPr lang="es-ES" sz="1200" b="1"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rPr>
              <a:t> total</a:t>
            </a:r>
            <a:endParaRPr lang="es-ES" sz="1200"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title>
    <c:autoTitleDeleted val="0"/>
    <c:plotArea>
      <c:layout/>
      <c:barChart>
        <c:barDir val="col"/>
        <c:grouping val="clustered"/>
        <c:varyColors val="0"/>
        <c:ser>
          <c:idx val="0"/>
          <c:order val="0"/>
          <c:tx>
            <c:strRef>
              <c:f>Resum!$C$5</c:f>
              <c:strCache>
                <c:ptCount val="1"/>
                <c:pt idx="0">
                  <c:v>cuantía total</c:v>
                </c:pt>
              </c:strCache>
            </c:strRef>
          </c:tx>
          <c:spPr>
            <a:solidFill>
              <a:schemeClr val="accent6">
                <a:lumMod val="75000"/>
              </a:schemeClr>
            </a:solidFill>
            <a:ln>
              <a:noFill/>
            </a:ln>
            <a:effectLst/>
          </c:spPr>
          <c:invertIfNegative val="0"/>
          <c:dLbls>
            <c:dLbl>
              <c:idx val="0"/>
              <c:layout>
                <c:manualLayout>
                  <c:x val="1.6740521910388981E-2"/>
                  <c:y val="-3.45911864034104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A3-4079-B70B-F69EB4F08330}"/>
                </c:ext>
              </c:extLst>
            </c:dLbl>
            <c:dLbl>
              <c:idx val="2"/>
              <c:delete val="1"/>
              <c:extLst>
                <c:ext xmlns:c15="http://schemas.microsoft.com/office/drawing/2012/chart" uri="{CE6537A1-D6FC-4f65-9D91-7224C49458BB}"/>
                <c:ext xmlns:c16="http://schemas.microsoft.com/office/drawing/2014/chart" uri="{C3380CC4-5D6E-409C-BE32-E72D297353CC}">
                  <c16:uniqueId val="{00000001-EBA3-4079-B70B-F69EB4F08330}"/>
                </c:ext>
              </c:extLst>
            </c:dLbl>
            <c:dLbl>
              <c:idx val="5"/>
              <c:delete val="1"/>
              <c:extLst>
                <c:ext xmlns:c15="http://schemas.microsoft.com/office/drawing/2012/chart" uri="{CE6537A1-D6FC-4f65-9D91-7224C49458BB}"/>
                <c:ext xmlns:c16="http://schemas.microsoft.com/office/drawing/2014/chart" uri="{C3380CC4-5D6E-409C-BE32-E72D297353CC}">
                  <c16:uniqueId val="{00000002-EBA3-4079-B70B-F69EB4F08330}"/>
                </c:ext>
              </c:extLst>
            </c:dLbl>
            <c:dLbl>
              <c:idx val="8"/>
              <c:delete val="1"/>
              <c:extLst>
                <c:ext xmlns:c15="http://schemas.microsoft.com/office/drawing/2012/chart" uri="{CE6537A1-D6FC-4f65-9D91-7224C49458BB}"/>
                <c:ext xmlns:c16="http://schemas.microsoft.com/office/drawing/2014/chart" uri="{C3380CC4-5D6E-409C-BE32-E72D297353CC}">
                  <c16:uniqueId val="{00000003-EBA3-4079-B70B-F69EB4F08330}"/>
                </c:ext>
              </c:extLst>
            </c:dLbl>
            <c:dLbl>
              <c:idx val="11"/>
              <c:delete val="1"/>
              <c:extLst>
                <c:ext xmlns:c15="http://schemas.microsoft.com/office/drawing/2012/chart" uri="{CE6537A1-D6FC-4f65-9D91-7224C49458BB}"/>
                <c:ext xmlns:c16="http://schemas.microsoft.com/office/drawing/2014/chart" uri="{C3380CC4-5D6E-409C-BE32-E72D297353CC}">
                  <c16:uniqueId val="{00000004-EBA3-4079-B70B-F69EB4F08330}"/>
                </c:ext>
              </c:extLst>
            </c:dLbl>
            <c:dLbl>
              <c:idx val="14"/>
              <c:delete val="1"/>
              <c:extLst>
                <c:ext xmlns:c15="http://schemas.microsoft.com/office/drawing/2012/chart" uri="{CE6537A1-D6FC-4f65-9D91-7224C49458BB}"/>
                <c:ext xmlns:c16="http://schemas.microsoft.com/office/drawing/2014/chart" uri="{C3380CC4-5D6E-409C-BE32-E72D297353CC}">
                  <c16:uniqueId val="{00000005-EBA3-4079-B70B-F69EB4F0833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Resum!$D$4:$S$4</c:f>
              <c:numCache>
                <c:formatCode>General</c:formatCode>
                <c:ptCount val="16"/>
                <c:pt idx="2" formatCode="#,##0;[Red]#,##0">
                  <c:v>2021</c:v>
                </c:pt>
                <c:pt idx="5">
                  <c:v>2022</c:v>
                </c:pt>
                <c:pt idx="8" formatCode="#,##0;[Red]#,##0">
                  <c:v>2023</c:v>
                </c:pt>
                <c:pt idx="11" formatCode="#,##0;[Red]#,##0">
                  <c:v>2024</c:v>
                </c:pt>
                <c:pt idx="14">
                  <c:v>2025</c:v>
                </c:pt>
              </c:numCache>
            </c:numRef>
          </c:cat>
          <c:val>
            <c:numRef>
              <c:f>Resum!$D$5:$S$5</c:f>
              <c:numCache>
                <c:formatCode>General</c:formatCode>
                <c:ptCount val="16"/>
                <c:pt idx="0" formatCode="#,##0.00\ &quot;€&quot;;[Red]#,##0.00\ &quot;€&quot;">
                  <c:v>11172183.499999998</c:v>
                </c:pt>
                <c:pt idx="2" formatCode="#,##0.00\ &quot;€&quot;;[Red]#,##0.00\ &quot;€&quot;">
                  <c:v>0</c:v>
                </c:pt>
                <c:pt idx="3" formatCode="#,##0.00\ &quot;€&quot;;[Red]#,##0.00\ &quot;€&quot;">
                  <c:v>32019876.780000005</c:v>
                </c:pt>
                <c:pt idx="5">
                  <c:v>0</c:v>
                </c:pt>
                <c:pt idx="6" formatCode="#,##0.00\ &quot;€&quot;;[Red]#,##0.00\ &quot;€&quot;">
                  <c:v>22730636.050000001</c:v>
                </c:pt>
                <c:pt idx="8" formatCode="#,##0.00\ &quot;€&quot;;[Red]#,##0.00\ &quot;€&quot;">
                  <c:v>0</c:v>
                </c:pt>
                <c:pt idx="9" formatCode="#,##0.00\ &quot;€&quot;;[Red]#,##0.00\ &quot;€&quot;">
                  <c:v>14507624.959999997</c:v>
                </c:pt>
                <c:pt idx="11" formatCode="#,##0.00\ &quot;€&quot;;[Red]#,##0.00\ &quot;€&quot;">
                  <c:v>0</c:v>
                </c:pt>
                <c:pt idx="12" formatCode="#,##0.00\ &quot;€&quot;;[Red]#,##0.00\ &quot;€&quot;">
                  <c:v>17916092.16</c:v>
                </c:pt>
                <c:pt idx="14">
                  <c:v>0</c:v>
                </c:pt>
                <c:pt idx="15" formatCode="#,##0.00\ &quot;€&quot;;[Red]#,##0.00\ &quot;€&quot;">
                  <c:v>21975942.649999995</c:v>
                </c:pt>
              </c:numCache>
            </c:numRef>
          </c:val>
          <c:extLst>
            <c:ext xmlns:c16="http://schemas.microsoft.com/office/drawing/2014/chart" uri="{C3380CC4-5D6E-409C-BE32-E72D297353CC}">
              <c16:uniqueId val="{00000006-EBA3-4079-B70B-F69EB4F08330}"/>
            </c:ext>
          </c:extLst>
        </c:ser>
        <c:ser>
          <c:idx val="3"/>
          <c:order val="3"/>
          <c:tx>
            <c:strRef>
              <c:f>Resum!$C$8</c:f>
              <c:strCache>
                <c:ptCount val="1"/>
                <c:pt idx="0">
                  <c:v>cuantía total acotada</c:v>
                </c:pt>
              </c:strCache>
            </c:strRef>
          </c:tx>
          <c:spPr>
            <a:solidFill>
              <a:srgbClr val="00B050"/>
            </a:solidFill>
            <a:ln>
              <a:noFill/>
            </a:ln>
            <a:effectLst/>
          </c:spPr>
          <c:invertIfNegative val="0"/>
          <c:dLbls>
            <c:dLbl>
              <c:idx val="0"/>
              <c:layout>
                <c:manualLayout>
                  <c:x val="4.3515614267224861E-2"/>
                  <c:y val="-3.14448120020500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BA3-4079-B70B-F69EB4F08330}"/>
                </c:ext>
              </c:extLst>
            </c:dLbl>
            <c:dLbl>
              <c:idx val="2"/>
              <c:delete val="1"/>
              <c:extLst>
                <c:ext xmlns:c15="http://schemas.microsoft.com/office/drawing/2012/chart" uri="{CE6537A1-D6FC-4f65-9D91-7224C49458BB}"/>
                <c:ext xmlns:c16="http://schemas.microsoft.com/office/drawing/2014/chart" uri="{C3380CC4-5D6E-409C-BE32-E72D297353CC}">
                  <c16:uniqueId val="{00000008-EBA3-4079-B70B-F69EB4F08330}"/>
                </c:ext>
              </c:extLst>
            </c:dLbl>
            <c:dLbl>
              <c:idx val="3"/>
              <c:layout>
                <c:manualLayout>
                  <c:x val="5.591838210306356E-2"/>
                  <c:y val="5.917159763313609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BA3-4079-B70B-F69EB4F08330}"/>
                </c:ext>
              </c:extLst>
            </c:dLbl>
            <c:dLbl>
              <c:idx val="5"/>
              <c:delete val="1"/>
              <c:extLst>
                <c:ext xmlns:c15="http://schemas.microsoft.com/office/drawing/2012/chart" uri="{CE6537A1-D6FC-4f65-9D91-7224C49458BB}"/>
                <c:ext xmlns:c16="http://schemas.microsoft.com/office/drawing/2014/chart" uri="{C3380CC4-5D6E-409C-BE32-E72D297353CC}">
                  <c16:uniqueId val="{0000000A-EBA3-4079-B70B-F69EB4F08330}"/>
                </c:ext>
              </c:extLst>
            </c:dLbl>
            <c:dLbl>
              <c:idx val="6"/>
              <c:layout>
                <c:manualLayout>
                  <c:x val="4.5485058169381719E-2"/>
                  <c:y val="2.772678563108605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BA3-4079-B70B-F69EB4F08330}"/>
                </c:ext>
              </c:extLst>
            </c:dLbl>
            <c:dLbl>
              <c:idx val="8"/>
              <c:delete val="1"/>
              <c:extLst>
                <c:ext xmlns:c15="http://schemas.microsoft.com/office/drawing/2012/chart" uri="{CE6537A1-D6FC-4f65-9D91-7224C49458BB}"/>
                <c:ext xmlns:c16="http://schemas.microsoft.com/office/drawing/2014/chart" uri="{C3380CC4-5D6E-409C-BE32-E72D297353CC}">
                  <c16:uniqueId val="{0000000C-EBA3-4079-B70B-F69EB4F08330}"/>
                </c:ext>
              </c:extLst>
            </c:dLbl>
            <c:dLbl>
              <c:idx val="9"/>
              <c:layout>
                <c:manualLayout>
                  <c:x val="4.423447069116347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BA3-4079-B70B-F69EB4F08330}"/>
                </c:ext>
              </c:extLst>
            </c:dLbl>
            <c:dLbl>
              <c:idx val="11"/>
              <c:delete val="1"/>
              <c:extLst>
                <c:ext xmlns:c15="http://schemas.microsoft.com/office/drawing/2012/chart" uri="{CE6537A1-D6FC-4f65-9D91-7224C49458BB}"/>
                <c:ext xmlns:c16="http://schemas.microsoft.com/office/drawing/2014/chart" uri="{C3380CC4-5D6E-409C-BE32-E72D297353CC}">
                  <c16:uniqueId val="{0000000E-EBA3-4079-B70B-F69EB4F08330}"/>
                </c:ext>
              </c:extLst>
            </c:dLbl>
            <c:dLbl>
              <c:idx val="12"/>
              <c:layout>
                <c:manualLayout>
                  <c:x val="5.6165954462303651E-2"/>
                  <c:y val="-5.048175930671387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BA3-4079-B70B-F69EB4F08330}"/>
                </c:ext>
              </c:extLst>
            </c:dLbl>
            <c:dLbl>
              <c:idx val="14"/>
              <c:delete val="1"/>
              <c:extLst>
                <c:ext xmlns:c15="http://schemas.microsoft.com/office/drawing/2012/chart" uri="{CE6537A1-D6FC-4f65-9D91-7224C49458BB}"/>
                <c:ext xmlns:c16="http://schemas.microsoft.com/office/drawing/2014/chart" uri="{C3380CC4-5D6E-409C-BE32-E72D297353CC}">
                  <c16:uniqueId val="{00000010-EBA3-4079-B70B-F69EB4F08330}"/>
                </c:ext>
              </c:extLst>
            </c:dLbl>
            <c:dLbl>
              <c:idx val="15"/>
              <c:layout>
                <c:manualLayout>
                  <c:x val="-5.694945156648807E-2"/>
                  <c:y val="0.1276098401900944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BA3-4079-B70B-F69EB4F0833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Resum!$D$4:$S$4</c:f>
              <c:numCache>
                <c:formatCode>General</c:formatCode>
                <c:ptCount val="16"/>
                <c:pt idx="2" formatCode="#,##0;[Red]#,##0">
                  <c:v>2021</c:v>
                </c:pt>
                <c:pt idx="5">
                  <c:v>2022</c:v>
                </c:pt>
                <c:pt idx="8" formatCode="#,##0;[Red]#,##0">
                  <c:v>2023</c:v>
                </c:pt>
                <c:pt idx="11" formatCode="#,##0;[Red]#,##0">
                  <c:v>2024</c:v>
                </c:pt>
                <c:pt idx="14">
                  <c:v>2025</c:v>
                </c:pt>
              </c:numCache>
            </c:numRef>
          </c:cat>
          <c:val>
            <c:numRef>
              <c:f>Resum!$D$8:$S$8</c:f>
              <c:numCache>
                <c:formatCode>General</c:formatCode>
                <c:ptCount val="16"/>
                <c:pt idx="0" formatCode="#,##0.00\ &quot;€&quot;;[Red]#,##0.00\ &quot;€&quot;">
                  <c:v>5431854.0599999987</c:v>
                </c:pt>
                <c:pt idx="2" formatCode="#,##0.00\ &quot;€&quot;;[Red]#,##0.00\ &quot;€&quot;">
                  <c:v>0</c:v>
                </c:pt>
                <c:pt idx="3" formatCode="#,##0.00\ &quot;€&quot;;[Red]#,##0.00\ &quot;€&quot;">
                  <c:v>12569029.160000004</c:v>
                </c:pt>
                <c:pt idx="5">
                  <c:v>0</c:v>
                </c:pt>
                <c:pt idx="6" formatCode="#,##0.00\ &quot;€&quot;;[Red]#,##0.00\ &quot;€&quot;">
                  <c:v>7351734.540000001</c:v>
                </c:pt>
                <c:pt idx="8" formatCode="#,##0.00\ &quot;€&quot;;[Red]#,##0.00\ &quot;€&quot;">
                  <c:v>0</c:v>
                </c:pt>
                <c:pt idx="9" formatCode="#,##0.00\ &quot;€&quot;;[Red]#,##0.00\ &quot;€&quot;">
                  <c:v>7951897.3199999966</c:v>
                </c:pt>
                <c:pt idx="11" formatCode="#,##0.00\ &quot;€&quot;;[Red]#,##0.00\ &quot;€&quot;">
                  <c:v>0</c:v>
                </c:pt>
                <c:pt idx="12" formatCode="#,##0.00\ &quot;€&quot;;[Red]#,##0.00\ &quot;€&quot;">
                  <c:v>5048080.6899999995</c:v>
                </c:pt>
                <c:pt idx="14">
                  <c:v>0</c:v>
                </c:pt>
                <c:pt idx="15" formatCode="#,##0.00\ &quot;€&quot;;[Red]#,##0.00\ &quot;€&quot;">
                  <c:v>9864584.4099999964</c:v>
                </c:pt>
              </c:numCache>
            </c:numRef>
          </c:val>
          <c:extLst>
            <c:ext xmlns:c16="http://schemas.microsoft.com/office/drawing/2014/chart" uri="{C3380CC4-5D6E-409C-BE32-E72D297353CC}">
              <c16:uniqueId val="{00000012-EBA3-4079-B70B-F69EB4F08330}"/>
            </c:ext>
          </c:extLst>
        </c:ser>
        <c:dLbls>
          <c:dLblPos val="outEnd"/>
          <c:showLegendKey val="0"/>
          <c:showVal val="1"/>
          <c:showCatName val="0"/>
          <c:showSerName val="0"/>
          <c:showPercent val="0"/>
          <c:showBubbleSize val="0"/>
        </c:dLbls>
        <c:gapWidth val="219"/>
        <c:overlap val="-27"/>
        <c:axId val="919466575"/>
        <c:axId val="919466095"/>
        <c:extLst>
          <c:ext xmlns:c15="http://schemas.microsoft.com/office/drawing/2012/chart" uri="{02D57815-91ED-43cb-92C2-25804820EDAC}">
            <c15:filteredBarSeries>
              <c15:ser>
                <c:idx val="1"/>
                <c:order val="1"/>
                <c:tx>
                  <c:strRef>
                    <c:extLst>
                      <c:ext uri="{02D57815-91ED-43cb-92C2-25804820EDAC}">
                        <c15:formulaRef>
                          <c15:sqref>Resum!$C$6</c15:sqref>
                        </c15:formulaRef>
                      </c:ext>
                    </c:extLst>
                    <c:strCache>
                      <c:ptCount val="1"/>
                      <c:pt idx="0">
                        <c:v>cuantía media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c:ext uri="{02D57815-91ED-43cb-92C2-25804820EDAC}">
                        <c15:formulaRef>
                          <c15:sqref>Resum!$D$6:$S$6</c15:sqref>
                        </c15:formulaRef>
                      </c:ext>
                    </c:extLst>
                    <c:numCache>
                      <c:formatCode>General</c:formatCode>
                      <c:ptCount val="16"/>
                      <c:pt idx="0" formatCode="#,##0.00\ &quot;€&quot;;[Red]#,##0.00\ &quot;€&quot;">
                        <c:v>272492.28048780485</c:v>
                      </c:pt>
                      <c:pt idx="2" formatCode="#,##0.00\ &quot;€&quot;;[Red]#,##0.00\ &quot;€&quot;">
                        <c:v>0</c:v>
                      </c:pt>
                      <c:pt idx="3" formatCode="#,##0.00\ &quot;€&quot;;[Red]#,##0.00\ &quot;€&quot;">
                        <c:v>941761.08176470606</c:v>
                      </c:pt>
                      <c:pt idx="5">
                        <c:v>0</c:v>
                      </c:pt>
                      <c:pt idx="6" formatCode="#,##0.00\ &quot;€&quot;;[Red]#,##0.00\ &quot;€&quot;">
                        <c:v>614341.51486486488</c:v>
                      </c:pt>
                      <c:pt idx="8" formatCode="#,##0.00\ &quot;€&quot;;[Red]#,##0.00\ &quot;€&quot;">
                        <c:v>0</c:v>
                      </c:pt>
                      <c:pt idx="9" formatCode="#,##0.00\ &quot;€&quot;;[Red]#,##0.00\ &quot;€&quot;">
                        <c:v>371990.38358974352</c:v>
                      </c:pt>
                      <c:pt idx="11" formatCode="#,##0.00\ &quot;€&quot;;[Red]#,##0.00\ &quot;€&quot;">
                        <c:v>0</c:v>
                      </c:pt>
                      <c:pt idx="12" formatCode="#,##0.00\ &quot;€&quot;;[Red]#,##0.00\ &quot;€&quot;">
                        <c:v>577938.45677419356</c:v>
                      </c:pt>
                      <c:pt idx="14">
                        <c:v>0</c:v>
                      </c:pt>
                      <c:pt idx="15" formatCode="#,##0.00\ &quot;€&quot;;[Red]#,##0.00\ &quot;€&quot;">
                        <c:v>646351.25441176456</c:v>
                      </c:pt>
                    </c:numCache>
                  </c:numRef>
                </c:val>
                <c:extLst>
                  <c:ext xmlns:c16="http://schemas.microsoft.com/office/drawing/2014/chart" uri="{C3380CC4-5D6E-409C-BE32-E72D297353CC}">
                    <c16:uniqueId val="{00000013-EBA3-4079-B70B-F69EB4F0833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Resum!$C$7</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xmlns:c15="http://schemas.microsoft.com/office/drawing/2012/chart">
                      <c:ext xmlns:c15="http://schemas.microsoft.com/office/drawing/2012/chart" uri="{02D57815-91ED-43cb-92C2-25804820EDAC}">
                        <c15:formulaRef>
                          <c15:sqref>Resum!$D$7:$S$7</c15:sqref>
                        </c15:formulaRef>
                      </c:ext>
                    </c:extLst>
                    <c:numCache>
                      <c:formatCode>General</c:formatCode>
                      <c:ptCount val="16"/>
                    </c:numCache>
                  </c:numRef>
                </c:val>
                <c:extLst xmlns:c15="http://schemas.microsoft.com/office/drawing/2012/chart">
                  <c:ext xmlns:c16="http://schemas.microsoft.com/office/drawing/2014/chart" uri="{C3380CC4-5D6E-409C-BE32-E72D297353CC}">
                    <c16:uniqueId val="{00000014-EBA3-4079-B70B-F69EB4F0833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Resum!$C$9</c15:sqref>
                        </c15:formulaRef>
                      </c:ext>
                    </c:extLst>
                    <c:strCache>
                      <c:ptCount val="1"/>
                      <c:pt idx="0">
                        <c:v>cuantía média acotada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xmlns:c15="http://schemas.microsoft.com/office/drawing/2012/chart">
                      <c:ext xmlns:c15="http://schemas.microsoft.com/office/drawing/2012/chart" uri="{02D57815-91ED-43cb-92C2-25804820EDAC}">
                        <c15:formulaRef>
                          <c15:sqref>Resum!$D$9:$S$9</c15:sqref>
                        </c15:formulaRef>
                      </c:ext>
                    </c:extLst>
                    <c:numCache>
                      <c:formatCode>General</c:formatCode>
                      <c:ptCount val="16"/>
                      <c:pt idx="0" formatCode="#,##0.00\ &quot;€&quot;;[Red]#,##0.00\ &quot;€&quot;">
                        <c:v>146806.86648648645</c:v>
                      </c:pt>
                      <c:pt idx="2" formatCode="#,##0.00\ &quot;€&quot;;[Red]#,##0.00\ &quot;€&quot;">
                        <c:v>0</c:v>
                      </c:pt>
                      <c:pt idx="3" formatCode="#,##0.00\ &quot;€&quot;;[Red]#,##0.00\ &quot;€&quot;">
                        <c:v>418967.63866666681</c:v>
                      </c:pt>
                      <c:pt idx="5">
                        <c:v>0</c:v>
                      </c:pt>
                      <c:pt idx="6" formatCode="#,##0.00\ &quot;€&quot;;[Red]#,##0.00\ &quot;€&quot;">
                        <c:v>222779.83454545456</c:v>
                      </c:pt>
                      <c:pt idx="8" formatCode="#,##0.00\ &quot;€&quot;;[Red]#,##0.00\ &quot;€&quot;">
                        <c:v>0</c:v>
                      </c:pt>
                      <c:pt idx="9" formatCode="#,##0.00\ &quot;€&quot;;[Red]#,##0.00\ &quot;€&quot;">
                        <c:v>227197.06628571419</c:v>
                      </c:pt>
                      <c:pt idx="11" formatCode="#,##0.00\ &quot;€&quot;;[Red]#,##0.00\ &quot;€&quot;">
                        <c:v>0</c:v>
                      </c:pt>
                      <c:pt idx="12" formatCode="#,##0.00\ &quot;€&quot;;[Red]#,##0.00\ &quot;€&quot;">
                        <c:v>186965.95148148146</c:v>
                      </c:pt>
                      <c:pt idx="14">
                        <c:v>0</c:v>
                      </c:pt>
                      <c:pt idx="15" formatCode="#,##0.00\ &quot;€&quot;;[Red]#,##0.00\ &quot;€&quot;">
                        <c:v>328819.48033333319</c:v>
                      </c:pt>
                    </c:numCache>
                  </c:numRef>
                </c:val>
                <c:extLst xmlns:c15="http://schemas.microsoft.com/office/drawing/2012/chart">
                  <c:ext xmlns:c16="http://schemas.microsoft.com/office/drawing/2014/chart" uri="{C3380CC4-5D6E-409C-BE32-E72D297353CC}">
                    <c16:uniqueId val="{00000015-EBA3-4079-B70B-F69EB4F08330}"/>
                  </c:ext>
                </c:extLst>
              </c15:ser>
            </c15:filteredBarSeries>
          </c:ext>
        </c:extLst>
      </c:barChart>
      <c:catAx>
        <c:axId val="919466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919466095"/>
        <c:crosses val="autoZero"/>
        <c:auto val="1"/>
        <c:lblAlgn val="ctr"/>
        <c:lblOffset val="100"/>
        <c:noMultiLvlLbl val="0"/>
      </c:catAx>
      <c:valAx>
        <c:axId val="919466095"/>
        <c:scaling>
          <c:orientation val="minMax"/>
        </c:scaling>
        <c:delete val="0"/>
        <c:axPos val="l"/>
        <c:numFmt formatCode="#,##0.00\ &quot;€&quot;;[Red]#,##0.00\ &quot;€&quot;"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919466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1">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rPr>
              <a:t>Cuantía media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manualLayout>
          <c:layoutTarget val="inner"/>
          <c:xMode val="edge"/>
          <c:yMode val="edge"/>
          <c:x val="6.8669920932780612E-2"/>
          <c:y val="0.12031246710617149"/>
          <c:w val="0.91783059827801894"/>
          <c:h val="0.71971054251133459"/>
        </c:manualLayout>
      </c:layout>
      <c:barChart>
        <c:barDir val="col"/>
        <c:grouping val="clustered"/>
        <c:varyColors val="0"/>
        <c:ser>
          <c:idx val="1"/>
          <c:order val="1"/>
          <c:tx>
            <c:strRef>
              <c:f>Resum!$C$6</c:f>
              <c:strCache>
                <c:ptCount val="1"/>
                <c:pt idx="0">
                  <c:v>cuantía media</c:v>
                </c:pt>
              </c:strCache>
            </c:strRef>
          </c:tx>
          <c:spPr>
            <a:solidFill>
              <a:schemeClr val="accent6">
                <a:lumMod val="75000"/>
              </a:schemeClr>
            </a:solidFill>
            <a:ln>
              <a:noFill/>
            </a:ln>
            <a:effectLst/>
          </c:spPr>
          <c:invertIfNegative val="0"/>
          <c:dLbls>
            <c:dLbl>
              <c:idx val="0"/>
              <c:layout>
                <c:manualLayout>
                  <c:x val="2.8352743040428525E-2"/>
                  <c:y val="-1.04168090722067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1C-4B69-AFC3-0C073EC5957E}"/>
                </c:ext>
              </c:extLst>
            </c:dLbl>
            <c:dLbl>
              <c:idx val="2"/>
              <c:delete val="1"/>
              <c:extLst>
                <c:ext xmlns:c15="http://schemas.microsoft.com/office/drawing/2012/chart" uri="{CE6537A1-D6FC-4f65-9D91-7224C49458BB}"/>
                <c:ext xmlns:c16="http://schemas.microsoft.com/office/drawing/2014/chart" uri="{C3380CC4-5D6E-409C-BE32-E72D297353CC}">
                  <c16:uniqueId val="{00000001-371C-4B69-AFC3-0C073EC5957E}"/>
                </c:ext>
              </c:extLst>
            </c:dLbl>
            <c:dLbl>
              <c:idx val="3"/>
              <c:layout>
                <c:manualLayout>
                  <c:x val="0"/>
                  <c:y val="-3.472221272905382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1C-4B69-AFC3-0C073EC5957E}"/>
                </c:ext>
              </c:extLst>
            </c:dLbl>
            <c:dLbl>
              <c:idx val="5"/>
              <c:delete val="1"/>
              <c:extLst>
                <c:ext xmlns:c15="http://schemas.microsoft.com/office/drawing/2012/chart" uri="{CE6537A1-D6FC-4f65-9D91-7224C49458BB}"/>
                <c:ext xmlns:c16="http://schemas.microsoft.com/office/drawing/2014/chart" uri="{C3380CC4-5D6E-409C-BE32-E72D297353CC}">
                  <c16:uniqueId val="{00000003-371C-4B69-AFC3-0C073EC5957E}"/>
                </c:ext>
              </c:extLst>
            </c:dLbl>
            <c:dLbl>
              <c:idx val="8"/>
              <c:delete val="1"/>
              <c:extLst>
                <c:ext xmlns:c15="http://schemas.microsoft.com/office/drawing/2012/chart" uri="{CE6537A1-D6FC-4f65-9D91-7224C49458BB}"/>
                <c:ext xmlns:c16="http://schemas.microsoft.com/office/drawing/2014/chart" uri="{C3380CC4-5D6E-409C-BE32-E72D297353CC}">
                  <c16:uniqueId val="{00000004-371C-4B69-AFC3-0C073EC5957E}"/>
                </c:ext>
              </c:extLst>
            </c:dLbl>
            <c:dLbl>
              <c:idx val="11"/>
              <c:delete val="1"/>
              <c:extLst>
                <c:ext xmlns:c15="http://schemas.microsoft.com/office/drawing/2012/chart" uri="{CE6537A1-D6FC-4f65-9D91-7224C49458BB}"/>
                <c:ext xmlns:c16="http://schemas.microsoft.com/office/drawing/2014/chart" uri="{C3380CC4-5D6E-409C-BE32-E72D297353CC}">
                  <c16:uniqueId val="{00000005-371C-4B69-AFC3-0C073EC5957E}"/>
                </c:ext>
              </c:extLst>
            </c:dLbl>
            <c:dLbl>
              <c:idx val="14"/>
              <c:delete val="1"/>
              <c:extLst>
                <c:ext xmlns:c15="http://schemas.microsoft.com/office/drawing/2012/chart" uri="{CE6537A1-D6FC-4f65-9D91-7224C49458BB}"/>
                <c:ext xmlns:c16="http://schemas.microsoft.com/office/drawing/2014/chart" uri="{C3380CC4-5D6E-409C-BE32-E72D297353CC}">
                  <c16:uniqueId val="{00000006-371C-4B69-AFC3-0C073EC5957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Resum!$D$4:$S$4</c:f>
              <c:numCache>
                <c:formatCode>General</c:formatCode>
                <c:ptCount val="16"/>
                <c:pt idx="2" formatCode="#,##0;[Red]#,##0">
                  <c:v>2021</c:v>
                </c:pt>
                <c:pt idx="5">
                  <c:v>2022</c:v>
                </c:pt>
                <c:pt idx="8" formatCode="#,##0;[Red]#,##0">
                  <c:v>2023</c:v>
                </c:pt>
                <c:pt idx="11" formatCode="#,##0;[Red]#,##0">
                  <c:v>2024</c:v>
                </c:pt>
                <c:pt idx="14">
                  <c:v>2025</c:v>
                </c:pt>
              </c:numCache>
            </c:numRef>
          </c:cat>
          <c:val>
            <c:numRef>
              <c:f>Resum!$D$6:$S$6</c:f>
              <c:numCache>
                <c:formatCode>General</c:formatCode>
                <c:ptCount val="16"/>
                <c:pt idx="0" formatCode="#,##0.00\ &quot;€&quot;;[Red]#,##0.00\ &quot;€&quot;">
                  <c:v>272492.28048780485</c:v>
                </c:pt>
                <c:pt idx="2" formatCode="#,##0.00\ &quot;€&quot;;[Red]#,##0.00\ &quot;€&quot;">
                  <c:v>0</c:v>
                </c:pt>
                <c:pt idx="3" formatCode="#,##0.00\ &quot;€&quot;;[Red]#,##0.00\ &quot;€&quot;">
                  <c:v>941761.08176470606</c:v>
                </c:pt>
                <c:pt idx="5">
                  <c:v>0</c:v>
                </c:pt>
                <c:pt idx="6" formatCode="#,##0.00\ &quot;€&quot;;[Red]#,##0.00\ &quot;€&quot;">
                  <c:v>614341.51486486488</c:v>
                </c:pt>
                <c:pt idx="8" formatCode="#,##0.00\ &quot;€&quot;;[Red]#,##0.00\ &quot;€&quot;">
                  <c:v>0</c:v>
                </c:pt>
                <c:pt idx="9" formatCode="#,##0.00\ &quot;€&quot;;[Red]#,##0.00\ &quot;€&quot;">
                  <c:v>371990.38358974352</c:v>
                </c:pt>
                <c:pt idx="11" formatCode="#,##0.00\ &quot;€&quot;;[Red]#,##0.00\ &quot;€&quot;">
                  <c:v>0</c:v>
                </c:pt>
                <c:pt idx="12" formatCode="#,##0.00\ &quot;€&quot;;[Red]#,##0.00\ &quot;€&quot;">
                  <c:v>577938.45677419356</c:v>
                </c:pt>
                <c:pt idx="14">
                  <c:v>0</c:v>
                </c:pt>
                <c:pt idx="15" formatCode="#,##0.00\ &quot;€&quot;;[Red]#,##0.00\ &quot;€&quot;">
                  <c:v>646351.25441176456</c:v>
                </c:pt>
              </c:numCache>
            </c:numRef>
          </c:val>
          <c:extLst>
            <c:ext xmlns:c16="http://schemas.microsoft.com/office/drawing/2014/chart" uri="{C3380CC4-5D6E-409C-BE32-E72D297353CC}">
              <c16:uniqueId val="{00000007-371C-4B69-AFC3-0C073EC5957E}"/>
            </c:ext>
          </c:extLst>
        </c:ser>
        <c:ser>
          <c:idx val="4"/>
          <c:order val="4"/>
          <c:tx>
            <c:strRef>
              <c:f>Resum!$C$9</c:f>
              <c:strCache>
                <c:ptCount val="1"/>
                <c:pt idx="0">
                  <c:v>cuantía media acotada</c:v>
                </c:pt>
              </c:strCache>
            </c:strRef>
          </c:tx>
          <c:spPr>
            <a:solidFill>
              <a:srgbClr val="00B050"/>
            </a:solidFill>
            <a:ln>
              <a:noFill/>
            </a:ln>
            <a:effectLst/>
          </c:spPr>
          <c:invertIfNegative val="0"/>
          <c:dLbls>
            <c:dLbl>
              <c:idx val="0"/>
              <c:layout>
                <c:manualLayout>
                  <c:x val="6.1582229811321824E-2"/>
                  <c:y val="5.6006720806496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71C-4B69-AFC3-0C073EC5957E}"/>
                </c:ext>
              </c:extLst>
            </c:dLbl>
            <c:dLbl>
              <c:idx val="2"/>
              <c:delete val="1"/>
              <c:extLst>
                <c:ext xmlns:c15="http://schemas.microsoft.com/office/drawing/2012/chart" uri="{CE6537A1-D6FC-4f65-9D91-7224C49458BB}"/>
                <c:ext xmlns:c16="http://schemas.microsoft.com/office/drawing/2014/chart" uri="{C3380CC4-5D6E-409C-BE32-E72D297353CC}">
                  <c16:uniqueId val="{00000009-371C-4B69-AFC3-0C073EC5957E}"/>
                </c:ext>
              </c:extLst>
            </c:dLbl>
            <c:dLbl>
              <c:idx val="3"/>
              <c:layout>
                <c:manualLayout>
                  <c:x val="5.2016309416948577E-2"/>
                  <c:y val="2.128255390646826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71C-4B69-AFC3-0C073EC5957E}"/>
                </c:ext>
              </c:extLst>
            </c:dLbl>
            <c:dLbl>
              <c:idx val="5"/>
              <c:delete val="1"/>
              <c:extLst>
                <c:ext xmlns:c15="http://schemas.microsoft.com/office/drawing/2012/chart" uri="{CE6537A1-D6FC-4f65-9D91-7224C49458BB}"/>
                <c:ext xmlns:c16="http://schemas.microsoft.com/office/drawing/2014/chart" uri="{C3380CC4-5D6E-409C-BE32-E72D297353CC}">
                  <c16:uniqueId val="{0000000B-371C-4B69-AFC3-0C073EC5957E}"/>
                </c:ext>
              </c:extLst>
            </c:dLbl>
            <c:dLbl>
              <c:idx val="6"/>
              <c:layout>
                <c:manualLayout>
                  <c:x val="5.9600714596898863E-2"/>
                  <c:y val="5.60067208064967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71C-4B69-AFC3-0C073EC5957E}"/>
                </c:ext>
              </c:extLst>
            </c:dLbl>
            <c:dLbl>
              <c:idx val="8"/>
              <c:delete val="1"/>
              <c:extLst>
                <c:ext xmlns:c15="http://schemas.microsoft.com/office/drawing/2012/chart" uri="{CE6537A1-D6FC-4f65-9D91-7224C49458BB}"/>
                <c:ext xmlns:c16="http://schemas.microsoft.com/office/drawing/2014/chart" uri="{C3380CC4-5D6E-409C-BE32-E72D297353CC}">
                  <c16:uniqueId val="{0000000D-371C-4B69-AFC3-0C073EC5957E}"/>
                </c:ext>
              </c:extLst>
            </c:dLbl>
            <c:dLbl>
              <c:idx val="9"/>
              <c:layout>
                <c:manualLayout>
                  <c:x val="5.5069135203253697E-2"/>
                  <c:y val="1.12013441612993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71C-4B69-AFC3-0C073EC5957E}"/>
                </c:ext>
              </c:extLst>
            </c:dLbl>
            <c:dLbl>
              <c:idx val="11"/>
              <c:delete val="1"/>
              <c:extLst>
                <c:ext xmlns:c15="http://schemas.microsoft.com/office/drawing/2012/chart" uri="{CE6537A1-D6FC-4f65-9D91-7224C49458BB}"/>
                <c:ext xmlns:c16="http://schemas.microsoft.com/office/drawing/2014/chart" uri="{C3380CC4-5D6E-409C-BE32-E72D297353CC}">
                  <c16:uniqueId val="{0000000F-371C-4B69-AFC3-0C073EC5957E}"/>
                </c:ext>
              </c:extLst>
            </c:dLbl>
            <c:dLbl>
              <c:idx val="12"/>
              <c:layout>
                <c:manualLayout>
                  <c:x val="5.3212469774363849E-2"/>
                  <c:y val="2.24026883225987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71C-4B69-AFC3-0C073EC5957E}"/>
                </c:ext>
              </c:extLst>
            </c:dLbl>
            <c:dLbl>
              <c:idx val="14"/>
              <c:delete val="1"/>
              <c:extLst>
                <c:ext xmlns:c15="http://schemas.microsoft.com/office/drawing/2012/chart" uri="{CE6537A1-D6FC-4f65-9D91-7224C49458BB}"/>
                <c:ext xmlns:c16="http://schemas.microsoft.com/office/drawing/2014/chart" uri="{C3380CC4-5D6E-409C-BE32-E72D297353CC}">
                  <c16:uniqueId val="{00000011-371C-4B69-AFC3-0C073EC5957E}"/>
                </c:ext>
              </c:extLst>
            </c:dLbl>
            <c:dLbl>
              <c:idx val="15"/>
              <c:layout>
                <c:manualLayout>
                  <c:x val="-4.10013128232719E-2"/>
                  <c:y val="2.91217308281717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71C-4B69-AFC3-0C073EC5957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Resum!$D$4:$S$4</c:f>
              <c:numCache>
                <c:formatCode>General</c:formatCode>
                <c:ptCount val="16"/>
                <c:pt idx="2" formatCode="#,##0;[Red]#,##0">
                  <c:v>2021</c:v>
                </c:pt>
                <c:pt idx="5">
                  <c:v>2022</c:v>
                </c:pt>
                <c:pt idx="8" formatCode="#,##0;[Red]#,##0">
                  <c:v>2023</c:v>
                </c:pt>
                <c:pt idx="11" formatCode="#,##0;[Red]#,##0">
                  <c:v>2024</c:v>
                </c:pt>
                <c:pt idx="14">
                  <c:v>2025</c:v>
                </c:pt>
              </c:numCache>
            </c:numRef>
          </c:cat>
          <c:val>
            <c:numRef>
              <c:f>Resum!$D$9:$S$9</c:f>
              <c:numCache>
                <c:formatCode>General</c:formatCode>
                <c:ptCount val="16"/>
                <c:pt idx="0" formatCode="#,##0.00\ &quot;€&quot;;[Red]#,##0.00\ &quot;€&quot;">
                  <c:v>146806.86648648645</c:v>
                </c:pt>
                <c:pt idx="2" formatCode="#,##0.00\ &quot;€&quot;;[Red]#,##0.00\ &quot;€&quot;">
                  <c:v>0</c:v>
                </c:pt>
                <c:pt idx="3" formatCode="#,##0.00\ &quot;€&quot;;[Red]#,##0.00\ &quot;€&quot;">
                  <c:v>418967.63866666681</c:v>
                </c:pt>
                <c:pt idx="5">
                  <c:v>0</c:v>
                </c:pt>
                <c:pt idx="6" formatCode="#,##0.00\ &quot;€&quot;;[Red]#,##0.00\ &quot;€&quot;">
                  <c:v>222779.83454545456</c:v>
                </c:pt>
                <c:pt idx="8" formatCode="#,##0.00\ &quot;€&quot;;[Red]#,##0.00\ &quot;€&quot;">
                  <c:v>0</c:v>
                </c:pt>
                <c:pt idx="9" formatCode="#,##0.00\ &quot;€&quot;;[Red]#,##0.00\ &quot;€&quot;">
                  <c:v>227197.06628571419</c:v>
                </c:pt>
                <c:pt idx="11" formatCode="#,##0.00\ &quot;€&quot;;[Red]#,##0.00\ &quot;€&quot;">
                  <c:v>0</c:v>
                </c:pt>
                <c:pt idx="12" formatCode="#,##0.00\ &quot;€&quot;;[Red]#,##0.00\ &quot;€&quot;">
                  <c:v>186965.95148148146</c:v>
                </c:pt>
                <c:pt idx="14">
                  <c:v>0</c:v>
                </c:pt>
                <c:pt idx="15" formatCode="#,##0.00\ &quot;€&quot;;[Red]#,##0.00\ &quot;€&quot;">
                  <c:v>328819.48033333319</c:v>
                </c:pt>
              </c:numCache>
            </c:numRef>
          </c:val>
          <c:extLst>
            <c:ext xmlns:c16="http://schemas.microsoft.com/office/drawing/2014/chart" uri="{C3380CC4-5D6E-409C-BE32-E72D297353CC}">
              <c16:uniqueId val="{00000013-371C-4B69-AFC3-0C073EC5957E}"/>
            </c:ext>
          </c:extLst>
        </c:ser>
        <c:dLbls>
          <c:dLblPos val="outEnd"/>
          <c:showLegendKey val="0"/>
          <c:showVal val="1"/>
          <c:showCatName val="0"/>
          <c:showSerName val="0"/>
          <c:showPercent val="0"/>
          <c:showBubbleSize val="0"/>
        </c:dLbls>
        <c:gapWidth val="219"/>
        <c:overlap val="-27"/>
        <c:axId val="783967999"/>
        <c:axId val="783972319"/>
        <c:extLst>
          <c:ext xmlns:c15="http://schemas.microsoft.com/office/drawing/2012/chart" uri="{02D57815-91ED-43cb-92C2-25804820EDAC}">
            <c15:filteredBarSeries>
              <c15:ser>
                <c:idx val="0"/>
                <c:order val="0"/>
                <c:tx>
                  <c:strRef>
                    <c:extLst>
                      <c:ext uri="{02D57815-91ED-43cb-92C2-25804820EDAC}">
                        <c15:formulaRef>
                          <c15:sqref>Resum!$C$5</c15:sqref>
                        </c15:formulaRef>
                      </c:ext>
                    </c:extLst>
                    <c:strCache>
                      <c:ptCount val="1"/>
                      <c:pt idx="0">
                        <c:v>cuantía 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c:ext uri="{02D57815-91ED-43cb-92C2-25804820EDAC}">
                        <c15:formulaRef>
                          <c15:sqref>Resum!$D$5:$S$5</c15:sqref>
                        </c15:formulaRef>
                      </c:ext>
                    </c:extLst>
                    <c:numCache>
                      <c:formatCode>General</c:formatCode>
                      <c:ptCount val="16"/>
                      <c:pt idx="0" formatCode="#,##0.00\ &quot;€&quot;;[Red]#,##0.00\ &quot;€&quot;">
                        <c:v>11172183.499999998</c:v>
                      </c:pt>
                      <c:pt idx="2" formatCode="#,##0.00\ &quot;€&quot;;[Red]#,##0.00\ &quot;€&quot;">
                        <c:v>0</c:v>
                      </c:pt>
                      <c:pt idx="3" formatCode="#,##0.00\ &quot;€&quot;;[Red]#,##0.00\ &quot;€&quot;">
                        <c:v>32019876.780000005</c:v>
                      </c:pt>
                      <c:pt idx="5">
                        <c:v>0</c:v>
                      </c:pt>
                      <c:pt idx="6" formatCode="#,##0.00\ &quot;€&quot;;[Red]#,##0.00\ &quot;€&quot;">
                        <c:v>22730636.050000001</c:v>
                      </c:pt>
                      <c:pt idx="8" formatCode="#,##0.00\ &quot;€&quot;;[Red]#,##0.00\ &quot;€&quot;">
                        <c:v>0</c:v>
                      </c:pt>
                      <c:pt idx="9" formatCode="#,##0.00\ &quot;€&quot;;[Red]#,##0.00\ &quot;€&quot;">
                        <c:v>14507624.959999997</c:v>
                      </c:pt>
                      <c:pt idx="11" formatCode="#,##0.00\ &quot;€&quot;;[Red]#,##0.00\ &quot;€&quot;">
                        <c:v>0</c:v>
                      </c:pt>
                      <c:pt idx="12" formatCode="#,##0.00\ &quot;€&quot;;[Red]#,##0.00\ &quot;€&quot;">
                        <c:v>17916092.16</c:v>
                      </c:pt>
                      <c:pt idx="14">
                        <c:v>0</c:v>
                      </c:pt>
                      <c:pt idx="15" formatCode="#,##0.00\ &quot;€&quot;;[Red]#,##0.00\ &quot;€&quot;">
                        <c:v>21975942.649999995</c:v>
                      </c:pt>
                    </c:numCache>
                  </c:numRef>
                </c:val>
                <c:extLst>
                  <c:ext xmlns:c16="http://schemas.microsoft.com/office/drawing/2014/chart" uri="{C3380CC4-5D6E-409C-BE32-E72D297353CC}">
                    <c16:uniqueId val="{00000014-371C-4B69-AFC3-0C073EC5957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Resum!$C$7</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xmlns:c15="http://schemas.microsoft.com/office/drawing/2012/chart">
                      <c:ext xmlns:c15="http://schemas.microsoft.com/office/drawing/2012/chart" uri="{02D57815-91ED-43cb-92C2-25804820EDAC}">
                        <c15:formulaRef>
                          <c15:sqref>Resum!$D$7:$S$7</c15:sqref>
                        </c15:formulaRef>
                      </c:ext>
                    </c:extLst>
                    <c:numCache>
                      <c:formatCode>General</c:formatCode>
                      <c:ptCount val="16"/>
                    </c:numCache>
                  </c:numRef>
                </c:val>
                <c:extLst xmlns:c15="http://schemas.microsoft.com/office/drawing/2012/chart">
                  <c:ext xmlns:c16="http://schemas.microsoft.com/office/drawing/2014/chart" uri="{C3380CC4-5D6E-409C-BE32-E72D297353CC}">
                    <c16:uniqueId val="{00000015-371C-4B69-AFC3-0C073EC5957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Resum!$C$8</c15:sqref>
                        </c15:formulaRef>
                      </c:ext>
                    </c:extLst>
                    <c:strCache>
                      <c:ptCount val="1"/>
                      <c:pt idx="0">
                        <c:v>cuantía total acotada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Resum!$D$4:$S$4</c15:sqref>
                        </c15:formulaRef>
                      </c:ext>
                    </c:extLst>
                    <c:numCache>
                      <c:formatCode>General</c:formatCode>
                      <c:ptCount val="16"/>
                      <c:pt idx="2" formatCode="#,##0;[Red]#,##0">
                        <c:v>2021</c:v>
                      </c:pt>
                      <c:pt idx="5">
                        <c:v>2022</c:v>
                      </c:pt>
                      <c:pt idx="8" formatCode="#,##0;[Red]#,##0">
                        <c:v>2023</c:v>
                      </c:pt>
                      <c:pt idx="11" formatCode="#,##0;[Red]#,##0">
                        <c:v>2024</c:v>
                      </c:pt>
                      <c:pt idx="14">
                        <c:v>2025</c:v>
                      </c:pt>
                    </c:numCache>
                  </c:numRef>
                </c:cat>
                <c:val>
                  <c:numRef>
                    <c:extLst xmlns:c15="http://schemas.microsoft.com/office/drawing/2012/chart">
                      <c:ext xmlns:c15="http://schemas.microsoft.com/office/drawing/2012/chart" uri="{02D57815-91ED-43cb-92C2-25804820EDAC}">
                        <c15:formulaRef>
                          <c15:sqref>Resum!$D$8:$S$8</c15:sqref>
                        </c15:formulaRef>
                      </c:ext>
                    </c:extLst>
                    <c:numCache>
                      <c:formatCode>General</c:formatCode>
                      <c:ptCount val="16"/>
                      <c:pt idx="0" formatCode="#,##0.00\ &quot;€&quot;;[Red]#,##0.00\ &quot;€&quot;">
                        <c:v>5431854.0599999987</c:v>
                      </c:pt>
                      <c:pt idx="2" formatCode="#,##0.00\ &quot;€&quot;;[Red]#,##0.00\ &quot;€&quot;">
                        <c:v>0</c:v>
                      </c:pt>
                      <c:pt idx="3" formatCode="#,##0.00\ &quot;€&quot;;[Red]#,##0.00\ &quot;€&quot;">
                        <c:v>12569029.160000004</c:v>
                      </c:pt>
                      <c:pt idx="5">
                        <c:v>0</c:v>
                      </c:pt>
                      <c:pt idx="6" formatCode="#,##0.00\ &quot;€&quot;;[Red]#,##0.00\ &quot;€&quot;">
                        <c:v>7351734.540000001</c:v>
                      </c:pt>
                      <c:pt idx="8" formatCode="#,##0.00\ &quot;€&quot;;[Red]#,##0.00\ &quot;€&quot;">
                        <c:v>0</c:v>
                      </c:pt>
                      <c:pt idx="9" formatCode="#,##0.00\ &quot;€&quot;;[Red]#,##0.00\ &quot;€&quot;">
                        <c:v>7951897.3199999966</c:v>
                      </c:pt>
                      <c:pt idx="11" formatCode="#,##0.00\ &quot;€&quot;;[Red]#,##0.00\ &quot;€&quot;">
                        <c:v>0</c:v>
                      </c:pt>
                      <c:pt idx="12" formatCode="#,##0.00\ &quot;€&quot;;[Red]#,##0.00\ &quot;€&quot;">
                        <c:v>5048080.6899999995</c:v>
                      </c:pt>
                      <c:pt idx="14">
                        <c:v>0</c:v>
                      </c:pt>
                      <c:pt idx="15" formatCode="#,##0.00\ &quot;€&quot;;[Red]#,##0.00\ &quot;€&quot;">
                        <c:v>9864584.4099999964</c:v>
                      </c:pt>
                    </c:numCache>
                  </c:numRef>
                </c:val>
                <c:extLst xmlns:c15="http://schemas.microsoft.com/office/drawing/2012/chart">
                  <c:ext xmlns:c16="http://schemas.microsoft.com/office/drawing/2014/chart" uri="{C3380CC4-5D6E-409C-BE32-E72D297353CC}">
                    <c16:uniqueId val="{00000016-371C-4B69-AFC3-0C073EC5957E}"/>
                  </c:ext>
                </c:extLst>
              </c15:ser>
            </c15:filteredBarSeries>
          </c:ext>
        </c:extLst>
      </c:barChart>
      <c:catAx>
        <c:axId val="783967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783972319"/>
        <c:crosses val="autoZero"/>
        <c:auto val="1"/>
        <c:lblAlgn val="ctr"/>
        <c:lblOffset val="100"/>
        <c:noMultiLvlLbl val="0"/>
      </c:catAx>
      <c:valAx>
        <c:axId val="783972319"/>
        <c:scaling>
          <c:orientation val="minMax"/>
        </c:scaling>
        <c:delete val="0"/>
        <c:axPos val="l"/>
        <c:numFmt formatCode="#,##0.00\ &quot;€&quot;;[Red]#,##0.00\ &quot;€&quot;"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783967999"/>
        <c:crosses val="autoZero"/>
        <c:crossBetween val="between"/>
      </c:valAx>
      <c:spPr>
        <a:noFill/>
        <a:ln>
          <a:noFill/>
        </a:ln>
        <a:effectLst/>
      </c:spPr>
    </c:plotArea>
    <c:legend>
      <c:legendPos val="b"/>
      <c:legendEntry>
        <c:idx val="1"/>
        <c:delete val="1"/>
      </c:legendEntry>
      <c:layout>
        <c:manualLayout>
          <c:xMode val="edge"/>
          <c:yMode val="edge"/>
          <c:x val="0.33955749961258558"/>
          <c:y val="0.9054879971423343"/>
          <c:w val="0.3208848545807006"/>
          <c:h val="9.4512002857665756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608849950094262"/>
          <c:y val="6.1366806136680614E-2"/>
          <c:w val="0.78043732209530148"/>
          <c:h val="0.74965066605168074"/>
        </c:manualLayout>
      </c:layout>
      <c:barChart>
        <c:barDir val="bar"/>
        <c:grouping val="stacked"/>
        <c:varyColors val="0"/>
        <c:ser>
          <c:idx val="1"/>
          <c:order val="0"/>
          <c:tx>
            <c:strRef>
              <c:f>Durada!$J$20:$J$21</c:f>
              <c:strCache>
                <c:ptCount val="2"/>
                <c:pt idx="1">
                  <c:v>meses</c:v>
                </c:pt>
              </c:strCache>
            </c:strRef>
          </c:tx>
          <c:spPr>
            <a:solidFill>
              <a:srgbClr val="008000"/>
            </a:solidFill>
            <a:ln>
              <a:noFill/>
            </a:ln>
            <a:effectLst/>
          </c:spPr>
          <c:invertIfNegative val="0"/>
          <c:dLbls>
            <c:dLbl>
              <c:idx val="1"/>
              <c:layout>
                <c:manualLayout>
                  <c:x val="0.25320856899929756"/>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FD-4E21-AD34-E043CFADE79F}"/>
                </c:ext>
              </c:extLst>
            </c:dLbl>
            <c:dLbl>
              <c:idx val="3"/>
              <c:layout>
                <c:manualLayout>
                  <c:x val="0.3986445972422461"/>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FD-4E21-AD34-E043CFADE79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Durada!$G$22:$H$26</c:f>
              <c:multiLvlStrCache>
                <c:ptCount val="4"/>
                <c:lvl>
                  <c:pt idx="1">
                    <c:v>media acotada</c:v>
                  </c:pt>
                  <c:pt idx="3">
                    <c:v>media acotada</c:v>
                  </c:pt>
                </c:lvl>
                <c:lvl>
                  <c:pt idx="1">
                    <c:v>Prearbitral</c:v>
                  </c:pt>
                  <c:pt idx="3">
                    <c:v>Arbitral </c:v>
                  </c:pt>
                </c:lvl>
              </c:multiLvlStrCache>
              <c:extLst/>
            </c:multiLvlStrRef>
          </c:cat>
          <c:val>
            <c:numRef>
              <c:f>Durada!$J$22:$J$26</c:f>
              <c:numCache>
                <c:formatCode>#,##0.0</c:formatCode>
                <c:ptCount val="5"/>
                <c:pt idx="1">
                  <c:v>3.8000000000000007</c:v>
                </c:pt>
                <c:pt idx="3">
                  <c:v>6.4285714285714288</c:v>
                </c:pt>
              </c:numCache>
              <c:extLst/>
            </c:numRef>
          </c:val>
          <c:extLst>
            <c:ext xmlns:c16="http://schemas.microsoft.com/office/drawing/2014/chart" uri="{C3380CC4-5D6E-409C-BE32-E72D297353CC}">
              <c16:uniqueId val="{00000002-A9FD-4E21-AD34-E043CFADE79F}"/>
            </c:ext>
          </c:extLst>
        </c:ser>
        <c:dLbls>
          <c:showLegendKey val="0"/>
          <c:showVal val="0"/>
          <c:showCatName val="0"/>
          <c:showSerName val="0"/>
          <c:showPercent val="0"/>
          <c:showBubbleSize val="0"/>
        </c:dLbls>
        <c:gapWidth val="150"/>
        <c:overlap val="100"/>
        <c:axId val="845224176"/>
        <c:axId val="845221296"/>
      </c:barChart>
      <c:catAx>
        <c:axId val="845224176"/>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Calibri Light" panose="020F0302020204030204" pitchFamily="34" charset="0"/>
                <a:ea typeface="Calibri Light" panose="020F0302020204030204" pitchFamily="34" charset="0"/>
                <a:cs typeface="Calibri Light" panose="020F0302020204030204" pitchFamily="34" charset="0"/>
              </a:defRPr>
            </a:pPr>
            <a:endParaRPr lang="es-ES"/>
          </a:p>
        </c:txPr>
        <c:crossAx val="845221296"/>
        <c:crosses val="autoZero"/>
        <c:auto val="1"/>
        <c:lblAlgn val="ctr"/>
        <c:lblOffset val="100"/>
        <c:noMultiLvlLbl val="0"/>
      </c:catAx>
      <c:valAx>
        <c:axId val="845221296"/>
        <c:scaling>
          <c:orientation val="minMax"/>
        </c:scaling>
        <c:delete val="1"/>
        <c:axPos val="b"/>
        <c:numFmt formatCode="#,##0.0" sourceLinked="1"/>
        <c:majorTickMark val="none"/>
        <c:minorTickMark val="none"/>
        <c:tickLblPos val="nextTo"/>
        <c:crossAx val="845224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j-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0.38727</cdr:x>
      <cdr:y>0.45324</cdr:y>
    </cdr:from>
    <cdr:to>
      <cdr:x>0.63888</cdr:x>
      <cdr:y>0.61794</cdr:y>
    </cdr:to>
    <cdr:sp macro="" textlink="">
      <cdr:nvSpPr>
        <cdr:cNvPr id="2" name="CuadroTexto 1">
          <a:extLst xmlns:a="http://schemas.openxmlformats.org/drawingml/2006/main">
            <a:ext uri="{FF2B5EF4-FFF2-40B4-BE49-F238E27FC236}">
              <a16:creationId xmlns:a16="http://schemas.microsoft.com/office/drawing/2014/main" id="{219227FB-B733-F2BA-9DA3-1D35CC2FE198}"/>
            </a:ext>
          </a:extLst>
        </cdr:cNvPr>
        <cdr:cNvSpPr txBox="1"/>
      </cdr:nvSpPr>
      <cdr:spPr>
        <a:xfrm xmlns:a="http://schemas.openxmlformats.org/drawingml/2006/main">
          <a:off x="1495425" y="1299450"/>
          <a:ext cx="971550" cy="4722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400" b="1" kern="1200">
              <a:latin typeface="Calibri Light" panose="020F0302020204030204" pitchFamily="34" charset="0"/>
              <a:ea typeface="Calibri Light" panose="020F0302020204030204" pitchFamily="34" charset="0"/>
              <a:cs typeface="Calibri Light" panose="020F0302020204030204" pitchFamily="34" charset="0"/>
            </a:rPr>
            <a:t>MATERIAS</a:t>
          </a:r>
        </a:p>
      </cdr:txBody>
    </cdr:sp>
  </cdr:relSizeAnchor>
</c:userShapes>
</file>

<file path=word/drawings/drawing2.xml><?xml version="1.0" encoding="utf-8"?>
<c:userShapes xmlns:c="http://schemas.openxmlformats.org/drawingml/2006/chart">
  <cdr:relSizeAnchor xmlns:cdr="http://schemas.openxmlformats.org/drawingml/2006/chartDrawing">
    <cdr:from>
      <cdr:x>0.40295</cdr:x>
      <cdr:y>0.51389</cdr:y>
    </cdr:from>
    <cdr:to>
      <cdr:x>0.60549</cdr:x>
      <cdr:y>0.84722</cdr:y>
    </cdr:to>
    <cdr:sp macro="" textlink="">
      <cdr:nvSpPr>
        <cdr:cNvPr id="2" name="Cuadro de texto 1"/>
        <cdr:cNvSpPr txBox="1"/>
      </cdr:nvSpPr>
      <cdr:spPr>
        <a:xfrm xmlns:a="http://schemas.openxmlformats.org/drawingml/2006/main">
          <a:off x="1819275" y="14097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0.39873</cdr:x>
      <cdr:y>0.46875</cdr:y>
    </cdr:from>
    <cdr:to>
      <cdr:x>0.60127</cdr:x>
      <cdr:y>0.80208</cdr:y>
    </cdr:to>
    <cdr:sp macro="" textlink="">
      <cdr:nvSpPr>
        <cdr:cNvPr id="3" name="Cuadro de texto 2"/>
        <cdr:cNvSpPr txBox="1"/>
      </cdr:nvSpPr>
      <cdr:spPr>
        <a:xfrm xmlns:a="http://schemas.openxmlformats.org/drawingml/2006/main">
          <a:off x="1800225" y="12858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0.36422</cdr:x>
      <cdr:y>0.34935</cdr:y>
    </cdr:from>
    <cdr:to>
      <cdr:x>0.63259</cdr:x>
      <cdr:y>0.62009</cdr:y>
    </cdr:to>
    <cdr:sp macro="" textlink="">
      <cdr:nvSpPr>
        <cdr:cNvPr id="4" name="Cuadro de texto 3"/>
        <cdr:cNvSpPr txBox="1"/>
      </cdr:nvSpPr>
      <cdr:spPr>
        <a:xfrm xmlns:a="http://schemas.openxmlformats.org/drawingml/2006/main">
          <a:off x="1085850" y="762001"/>
          <a:ext cx="800099" cy="59054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200" b="1" i="0" kern="1200">
              <a:latin typeface="Calibri Light" panose="020F0302020204030204" pitchFamily="34" charset="0"/>
              <a:ea typeface="Calibri Light" panose="020F0302020204030204" pitchFamily="34" charset="0"/>
              <a:cs typeface="Calibri Light" panose="020F0302020204030204" pitchFamily="34" charset="0"/>
            </a:rPr>
            <a:t>TIPOS </a:t>
          </a:r>
        </a:p>
        <a:p xmlns:a="http://schemas.openxmlformats.org/drawingml/2006/main">
          <a:pPr algn="ctr"/>
          <a:r>
            <a:rPr lang="es-ES" sz="1200" b="1" i="0" kern="1200">
              <a:latin typeface="Calibri Light" panose="020F0302020204030204" pitchFamily="34" charset="0"/>
              <a:ea typeface="Calibri Light" panose="020F0302020204030204" pitchFamily="34" charset="0"/>
              <a:cs typeface="Calibri Light" panose="020F0302020204030204" pitchFamily="34" charset="0"/>
            </a:rPr>
            <a:t>DE</a:t>
          </a:r>
          <a:r>
            <a:rPr lang="es-ES" sz="1200" b="1" i="0" kern="1200" baseline="0">
              <a:latin typeface="Calibri Light" panose="020F0302020204030204" pitchFamily="34" charset="0"/>
              <a:ea typeface="Calibri Light" panose="020F0302020204030204" pitchFamily="34" charset="0"/>
              <a:cs typeface="Calibri Light" panose="020F0302020204030204" pitchFamily="34" charset="0"/>
            </a:rPr>
            <a:t> </a:t>
          </a:r>
          <a:r>
            <a:rPr lang="es-ES" sz="1200" b="1" i="0" kern="1200">
              <a:latin typeface="Calibri Light" panose="020F0302020204030204" pitchFamily="34" charset="0"/>
              <a:ea typeface="Calibri Light" panose="020F0302020204030204" pitchFamily="34" charset="0"/>
              <a:cs typeface="Calibri Light" panose="020F0302020204030204" pitchFamily="34" charset="0"/>
            </a:rPr>
            <a:t>ARBITRAJE</a:t>
          </a:r>
        </a:p>
      </cdr:txBody>
    </cdr:sp>
  </cdr:relSizeAnchor>
</c:userShapes>
</file>

<file path=word/drawings/drawing3.xml><?xml version="1.0" encoding="utf-8"?>
<c:userShapes xmlns:c="http://schemas.openxmlformats.org/drawingml/2006/chart">
  <cdr:relSizeAnchor xmlns:cdr="http://schemas.openxmlformats.org/drawingml/2006/chartDrawing">
    <cdr:from>
      <cdr:x>0.43139</cdr:x>
      <cdr:y>0.47344</cdr:y>
    </cdr:from>
    <cdr:to>
      <cdr:x>0.58905</cdr:x>
      <cdr:y>0.72286</cdr:y>
    </cdr:to>
    <cdr:sp macro="" textlink="">
      <cdr:nvSpPr>
        <cdr:cNvPr id="2" name="CuadroTexto 1">
          <a:extLst xmlns:a="http://schemas.openxmlformats.org/drawingml/2006/main">
            <a:ext uri="{FF2B5EF4-FFF2-40B4-BE49-F238E27FC236}">
              <a16:creationId xmlns:a16="http://schemas.microsoft.com/office/drawing/2014/main" id="{DF3B270F-C8EC-A9CC-2C4B-9248804C3C3F}"/>
            </a:ext>
          </a:extLst>
        </cdr:cNvPr>
        <cdr:cNvSpPr txBox="1"/>
      </cdr:nvSpPr>
      <cdr:spPr>
        <a:xfrm xmlns:a="http://schemas.openxmlformats.org/drawingml/2006/main">
          <a:off x="2501902" y="173566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0.33962</cdr:x>
      <cdr:y>0.3574</cdr:y>
    </cdr:from>
    <cdr:to>
      <cdr:x>0.69182</cdr:x>
      <cdr:y>0.70397</cdr:y>
    </cdr:to>
    <cdr:sp macro="" textlink="">
      <cdr:nvSpPr>
        <cdr:cNvPr id="3" name="CuadroTexto 2">
          <a:extLst xmlns:a="http://schemas.openxmlformats.org/drawingml/2006/main">
            <a:ext uri="{FF2B5EF4-FFF2-40B4-BE49-F238E27FC236}">
              <a16:creationId xmlns:a16="http://schemas.microsoft.com/office/drawing/2014/main" id="{B8D898BD-A83E-37D7-EEBF-23DAD9AAFD68}"/>
            </a:ext>
          </a:extLst>
        </cdr:cNvPr>
        <cdr:cNvSpPr txBox="1"/>
      </cdr:nvSpPr>
      <cdr:spPr>
        <a:xfrm xmlns:a="http://schemas.openxmlformats.org/drawingml/2006/main">
          <a:off x="1028700" y="942975"/>
          <a:ext cx="10668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kern="1200"/>
        </a:p>
        <a:p xmlns:a="http://schemas.openxmlformats.org/drawingml/2006/main">
          <a:pPr algn="ctr"/>
          <a:endParaRPr lang="es-ES" sz="1200" b="1" kern="1200">
            <a:latin typeface="+mj-lt"/>
          </a:endParaRPr>
        </a:p>
        <a:p xmlns:a="http://schemas.openxmlformats.org/drawingml/2006/main">
          <a:pPr algn="ctr"/>
          <a:r>
            <a:rPr lang="es-ES" sz="1200" b="1" kern="1200">
              <a:latin typeface="+mj-lt"/>
            </a:rPr>
            <a:t>  IDIOMA</a:t>
          </a:r>
        </a:p>
        <a:p xmlns:a="http://schemas.openxmlformats.org/drawingml/2006/main">
          <a:pPr algn="ctr"/>
          <a:endParaRPr lang="es-ES" sz="1200" b="1" kern="1200">
            <a:latin typeface="+mj-lt"/>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0.38447</cdr:x>
      <cdr:y>0.45104</cdr:y>
    </cdr:from>
    <cdr:to>
      <cdr:x>0.56192</cdr:x>
      <cdr:y>0.73591</cdr:y>
    </cdr:to>
    <cdr:sp macro="" textlink="">
      <cdr:nvSpPr>
        <cdr:cNvPr id="2" name="CuadroTexto 1">
          <a:extLst xmlns:a="http://schemas.openxmlformats.org/drawingml/2006/main">
            <a:ext uri="{FF2B5EF4-FFF2-40B4-BE49-F238E27FC236}">
              <a16:creationId xmlns:a16="http://schemas.microsoft.com/office/drawing/2014/main" id="{0788C08E-BDAC-1034-C74E-7E1D49FD6234}"/>
            </a:ext>
          </a:extLst>
        </cdr:cNvPr>
        <cdr:cNvSpPr txBox="1"/>
      </cdr:nvSpPr>
      <cdr:spPr>
        <a:xfrm xmlns:a="http://schemas.openxmlformats.org/drawingml/2006/main">
          <a:off x="1981201" y="1447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0.34184</cdr:x>
      <cdr:y>0.35221</cdr:y>
    </cdr:from>
    <cdr:to>
      <cdr:x>0.59633</cdr:x>
      <cdr:y>0.54859</cdr:y>
    </cdr:to>
    <cdr:sp macro="" textlink="">
      <cdr:nvSpPr>
        <cdr:cNvPr id="3" name="CuadroTexto 2">
          <a:extLst xmlns:a="http://schemas.openxmlformats.org/drawingml/2006/main">
            <a:ext uri="{FF2B5EF4-FFF2-40B4-BE49-F238E27FC236}">
              <a16:creationId xmlns:a16="http://schemas.microsoft.com/office/drawing/2014/main" id="{AD20117D-998C-6A21-0FA4-F015C5105B7C}"/>
            </a:ext>
          </a:extLst>
        </cdr:cNvPr>
        <cdr:cNvSpPr txBox="1"/>
      </cdr:nvSpPr>
      <cdr:spPr>
        <a:xfrm xmlns:a="http://schemas.openxmlformats.org/drawingml/2006/main">
          <a:off x="1234262" y="958341"/>
          <a:ext cx="918865" cy="5343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200" b="1" kern="1200">
            <a:latin typeface="Calibri Light" panose="020F0302020204030204" pitchFamily="34" charset="0"/>
            <a:ea typeface="Calibri Light" panose="020F0302020204030204" pitchFamily="34" charset="0"/>
            <a:cs typeface="Calibri Light" panose="020F0302020204030204" pitchFamily="34" charset="0"/>
          </a:endParaRPr>
        </a:p>
        <a:p xmlns:a="http://schemas.openxmlformats.org/drawingml/2006/main">
          <a:pPr algn="ctr"/>
          <a:r>
            <a:rPr lang="es-ES" sz="1200" b="1" kern="1200">
              <a:latin typeface="Calibri Light" panose="020F0302020204030204" pitchFamily="34" charset="0"/>
              <a:ea typeface="Calibri Light" panose="020F0302020204030204" pitchFamily="34" charset="0"/>
              <a:cs typeface="Calibri Light" panose="020F0302020204030204" pitchFamily="34" charset="0"/>
            </a:rPr>
            <a:t>GÉNERO</a:t>
          </a:r>
        </a:p>
      </cdr:txBody>
    </cdr:sp>
  </cdr:relSizeAnchor>
  <cdr:relSizeAnchor xmlns:cdr="http://schemas.openxmlformats.org/drawingml/2006/chartDrawing">
    <cdr:from>
      <cdr:x>0.77663</cdr:x>
      <cdr:y>0.52693</cdr:y>
    </cdr:from>
    <cdr:to>
      <cdr:x>0.90645</cdr:x>
      <cdr:y>0.70381</cdr:y>
    </cdr:to>
    <cdr:pic>
      <cdr:nvPicPr>
        <cdr:cNvPr id="5" name="Imagen 4" descr="Silueta de los hombres - Iconos gratis de médico">
          <a:extLst xmlns:a="http://schemas.openxmlformats.org/drawingml/2006/main">
            <a:ext uri="{FF2B5EF4-FFF2-40B4-BE49-F238E27FC236}">
              <a16:creationId xmlns:a16="http://schemas.microsoft.com/office/drawing/2014/main" id="{92816846-1A27-4D30-828E-A0F0CD1D64D2}"/>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cstate="print">
          <a:duotone>
            <a:schemeClr val="accent6">
              <a:shade val="45000"/>
              <a:satMod val="135000"/>
            </a:schemeClr>
            <a:prstClr val="white"/>
          </a:duotone>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2899786" y="1430413"/>
          <a:ext cx="484708" cy="480155"/>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0.0693</cdr:x>
      <cdr:y>0.13451</cdr:y>
    </cdr:from>
    <cdr:to>
      <cdr:x>0.20665</cdr:x>
      <cdr:y>0.32056</cdr:y>
    </cdr:to>
    <cdr:pic>
      <cdr:nvPicPr>
        <cdr:cNvPr id="6" name="Imagen 5" descr="Mujer - Iconos gratis de personas">
          <a:extLst xmlns:a="http://schemas.openxmlformats.org/drawingml/2006/main">
            <a:ext uri="{FF2B5EF4-FFF2-40B4-BE49-F238E27FC236}">
              <a16:creationId xmlns:a16="http://schemas.microsoft.com/office/drawing/2014/main" id="{4FCCE4C5-80C0-4F5C-97AA-2C2B3D91A2A4}"/>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2" cstate="print">
          <a:duotone>
            <a:schemeClr val="accent6">
              <a:shade val="45000"/>
              <a:satMod val="135000"/>
            </a:schemeClr>
            <a:prstClr val="white"/>
          </a:duotone>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266014" y="345931"/>
          <a:ext cx="527241" cy="478467"/>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userShapes>
</file>

<file path=word/drawings/drawing5.xml><?xml version="1.0" encoding="utf-8"?>
<c:userShapes xmlns:c="http://schemas.openxmlformats.org/drawingml/2006/chart">
  <cdr:relSizeAnchor xmlns:cdr="http://schemas.openxmlformats.org/drawingml/2006/chartDrawing">
    <cdr:from>
      <cdr:x>0.39217</cdr:x>
      <cdr:y>0.44444</cdr:y>
    </cdr:from>
    <cdr:to>
      <cdr:x>0.57338</cdr:x>
      <cdr:y>0.67139</cdr:y>
    </cdr:to>
    <cdr:sp macro="" textlink="">
      <cdr:nvSpPr>
        <cdr:cNvPr id="2" name="CuadroTexto 1">
          <a:extLst xmlns:a="http://schemas.openxmlformats.org/drawingml/2006/main">
            <a:ext uri="{FF2B5EF4-FFF2-40B4-BE49-F238E27FC236}">
              <a16:creationId xmlns:a16="http://schemas.microsoft.com/office/drawing/2014/main" id="{1E1411DB-CD3E-C8CD-1B2D-509BE05BF0DB}"/>
            </a:ext>
          </a:extLst>
        </cdr:cNvPr>
        <cdr:cNvSpPr txBox="1"/>
      </cdr:nvSpPr>
      <cdr:spPr>
        <a:xfrm xmlns:a="http://schemas.openxmlformats.org/drawingml/2006/main">
          <a:off x="1978820" y="1790702"/>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0.38084</cdr:x>
      <cdr:y>0.37825</cdr:y>
    </cdr:from>
    <cdr:to>
      <cdr:x>0.62058</cdr:x>
      <cdr:y>0.68558</cdr:y>
    </cdr:to>
    <cdr:sp macro="" textlink="">
      <cdr:nvSpPr>
        <cdr:cNvPr id="3" name="CuadroTexto 2">
          <a:extLst xmlns:a="http://schemas.openxmlformats.org/drawingml/2006/main">
            <a:ext uri="{FF2B5EF4-FFF2-40B4-BE49-F238E27FC236}">
              <a16:creationId xmlns:a16="http://schemas.microsoft.com/office/drawing/2014/main" id="{61E2B562-28DB-3A23-81A8-9C7717F09FD1}"/>
            </a:ext>
          </a:extLst>
        </cdr:cNvPr>
        <cdr:cNvSpPr txBox="1"/>
      </cdr:nvSpPr>
      <cdr:spPr>
        <a:xfrm xmlns:a="http://schemas.openxmlformats.org/drawingml/2006/main">
          <a:off x="1921670" y="1524002"/>
          <a:ext cx="1209675" cy="12382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0.40939</cdr:x>
      <cdr:y>0.38652</cdr:y>
    </cdr:from>
    <cdr:to>
      <cdr:x>0.59061</cdr:x>
      <cdr:y>0.61347</cdr:y>
    </cdr:to>
    <cdr:sp macro="" textlink="">
      <cdr:nvSpPr>
        <cdr:cNvPr id="4" name="CuadroTexto 3">
          <a:extLst xmlns:a="http://schemas.openxmlformats.org/drawingml/2006/main">
            <a:ext uri="{FF2B5EF4-FFF2-40B4-BE49-F238E27FC236}">
              <a16:creationId xmlns:a16="http://schemas.microsoft.com/office/drawing/2014/main" id="{69B816E6-1819-EFD3-B55F-2DBF3BCA47D2}"/>
            </a:ext>
          </a:extLst>
        </cdr:cNvPr>
        <cdr:cNvSpPr txBox="1"/>
      </cdr:nvSpPr>
      <cdr:spPr>
        <a:xfrm xmlns:a="http://schemas.openxmlformats.org/drawingml/2006/main">
          <a:off x="2065735" y="1557338"/>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0.35253</cdr:x>
      <cdr:y>0.38652</cdr:y>
    </cdr:from>
    <cdr:to>
      <cdr:x>0.64512</cdr:x>
      <cdr:y>0.62884</cdr:y>
    </cdr:to>
    <cdr:sp macro="" textlink="">
      <cdr:nvSpPr>
        <cdr:cNvPr id="5" name="CuadroTexto 4">
          <a:extLst xmlns:a="http://schemas.openxmlformats.org/drawingml/2006/main">
            <a:ext uri="{FF2B5EF4-FFF2-40B4-BE49-F238E27FC236}">
              <a16:creationId xmlns:a16="http://schemas.microsoft.com/office/drawing/2014/main" id="{8C0AB56A-2F3F-D604-9158-76D4A7D8E71C}"/>
            </a:ext>
          </a:extLst>
        </cdr:cNvPr>
        <cdr:cNvSpPr txBox="1"/>
      </cdr:nvSpPr>
      <cdr:spPr>
        <a:xfrm xmlns:a="http://schemas.openxmlformats.org/drawingml/2006/main">
          <a:off x="1778796" y="1557338"/>
          <a:ext cx="1476374" cy="9763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0.29136</cdr:x>
      <cdr:y>0.3692</cdr:y>
    </cdr:from>
    <cdr:to>
      <cdr:x>0.68173</cdr:x>
      <cdr:y>0.75166</cdr:y>
    </cdr:to>
    <cdr:sp macro="" textlink="">
      <cdr:nvSpPr>
        <cdr:cNvPr id="6" name="CuadroTexto 5">
          <a:extLst xmlns:a="http://schemas.openxmlformats.org/drawingml/2006/main">
            <a:ext uri="{FF2B5EF4-FFF2-40B4-BE49-F238E27FC236}">
              <a16:creationId xmlns:a16="http://schemas.microsoft.com/office/drawing/2014/main" id="{011BB398-5001-3DA6-B9BE-FCC6948C011B}"/>
            </a:ext>
          </a:extLst>
        </cdr:cNvPr>
        <cdr:cNvSpPr txBox="1"/>
      </cdr:nvSpPr>
      <cdr:spPr>
        <a:xfrm xmlns:a="http://schemas.openxmlformats.org/drawingml/2006/main">
          <a:off x="936346" y="1027786"/>
          <a:ext cx="1254556" cy="106471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endParaRPr lang="es-ES" sz="1200" b="1" kern="1200">
            <a:latin typeface="+mj-lt"/>
            <a:ea typeface="+mn-ea"/>
            <a:cs typeface="+mn-cs"/>
          </a:endParaRPr>
        </a:p>
        <a:p xmlns:a="http://schemas.openxmlformats.org/drawingml/2006/main">
          <a:pPr algn="ctr"/>
          <a:r>
            <a:rPr lang="es-ES" sz="1200" b="1" kern="1200">
              <a:latin typeface="+mj-lt"/>
              <a:ea typeface="+mn-ea"/>
              <a:cs typeface="+mn-cs"/>
            </a:rPr>
            <a:t>I</a:t>
          </a:r>
          <a:r>
            <a:rPr lang="es-ES" sz="1200" b="1" kern="1200">
              <a:latin typeface="Calibri Light" panose="020F0302020204030204" pitchFamily="34" charset="0"/>
              <a:ea typeface="Calibri Light" panose="020F0302020204030204" pitchFamily="34" charset="0"/>
              <a:cs typeface="Calibri Light" panose="020F0302020204030204" pitchFamily="34" charset="0"/>
            </a:rPr>
            <a:t>NTERNACIONAL</a:t>
          </a:r>
        </a:p>
        <a:p xmlns:a="http://schemas.openxmlformats.org/drawingml/2006/main">
          <a:pPr algn="ctr"/>
          <a:r>
            <a:rPr lang="es-ES" sz="1200" b="1" kern="1200">
              <a:latin typeface="Calibri Light" panose="020F0302020204030204" pitchFamily="34" charset="0"/>
              <a:ea typeface="Calibri Light" panose="020F0302020204030204" pitchFamily="34" charset="0"/>
              <a:cs typeface="Calibri Light" panose="020F0302020204030204" pitchFamily="34" charset="0"/>
            </a:rPr>
            <a:t>V/</a:t>
          </a:r>
        </a:p>
        <a:p xmlns:a="http://schemas.openxmlformats.org/drawingml/2006/main">
          <a:pPr algn="ctr"/>
          <a:r>
            <a:rPr lang="es-ES" sz="1200" b="1" kern="1200">
              <a:latin typeface="Calibri Light" panose="020F0302020204030204" pitchFamily="34" charset="0"/>
              <a:ea typeface="Calibri Light" panose="020F0302020204030204" pitchFamily="34" charset="0"/>
              <a:cs typeface="Calibri Light" panose="020F0302020204030204" pitchFamily="34" charset="0"/>
            </a:rPr>
            <a:t>DOMÉSTICO</a:t>
          </a:r>
        </a:p>
      </cdr:txBody>
    </cdr:sp>
  </cdr:relSizeAnchor>
</c:userShapes>
</file>

<file path=word/drawings/drawing6.xml><?xml version="1.0" encoding="utf-8"?>
<c:userShapes xmlns:c="http://schemas.openxmlformats.org/drawingml/2006/chart">
  <cdr:relSizeAnchor xmlns:cdr="http://schemas.openxmlformats.org/drawingml/2006/chartDrawing">
    <cdr:from>
      <cdr:x>0.40664</cdr:x>
      <cdr:y>0.49061</cdr:y>
    </cdr:from>
    <cdr:to>
      <cdr:x>0.54788</cdr:x>
      <cdr:y>0.69663</cdr:y>
    </cdr:to>
    <cdr:sp macro="" textlink="">
      <cdr:nvSpPr>
        <cdr:cNvPr id="2" name="CuadroTexto 1">
          <a:extLst xmlns:a="http://schemas.openxmlformats.org/drawingml/2006/main">
            <a:ext uri="{FF2B5EF4-FFF2-40B4-BE49-F238E27FC236}">
              <a16:creationId xmlns:a16="http://schemas.microsoft.com/office/drawing/2014/main" id="{05A5995B-0817-7AF5-D003-E5CC5C9979CE}"/>
            </a:ext>
          </a:extLst>
        </cdr:cNvPr>
        <cdr:cNvSpPr txBox="1"/>
      </cdr:nvSpPr>
      <cdr:spPr>
        <a:xfrm xmlns:a="http://schemas.openxmlformats.org/drawingml/2006/main">
          <a:off x="2632576" y="217756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0.42825</cdr:x>
      <cdr:y>0.4924</cdr:y>
    </cdr:from>
    <cdr:to>
      <cdr:x>0.64692</cdr:x>
      <cdr:y>0.78419</cdr:y>
    </cdr:to>
    <cdr:sp macro="" textlink="">
      <cdr:nvSpPr>
        <cdr:cNvPr id="3" name="Cuadro de texto 2"/>
        <cdr:cNvSpPr txBox="1"/>
      </cdr:nvSpPr>
      <cdr:spPr>
        <a:xfrm xmlns:a="http://schemas.openxmlformats.org/drawingml/2006/main">
          <a:off x="1790700" y="15430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0.43052</cdr:x>
      <cdr:y>0.4772</cdr:y>
    </cdr:from>
    <cdr:to>
      <cdr:x>0.6492</cdr:x>
      <cdr:y>0.769</cdr:y>
    </cdr:to>
    <cdr:sp macro="" textlink="">
      <cdr:nvSpPr>
        <cdr:cNvPr id="4" name="Cuadro de texto 3"/>
        <cdr:cNvSpPr txBox="1"/>
      </cdr:nvSpPr>
      <cdr:spPr>
        <a:xfrm xmlns:a="http://schemas.openxmlformats.org/drawingml/2006/main">
          <a:off x="1800225" y="14954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ES" sz="1100" kern="1200"/>
        </a:p>
      </cdr:txBody>
    </cdr:sp>
  </cdr:relSizeAnchor>
  <cdr:relSizeAnchor xmlns:cdr="http://schemas.openxmlformats.org/drawingml/2006/chartDrawing">
    <cdr:from>
      <cdr:x>0.39216</cdr:x>
      <cdr:y>0.39963</cdr:y>
    </cdr:from>
    <cdr:to>
      <cdr:x>0.61084</cdr:x>
      <cdr:y>0.62327</cdr:y>
    </cdr:to>
    <cdr:sp macro="" textlink="">
      <cdr:nvSpPr>
        <cdr:cNvPr id="5" name="Cuadro de texto 4"/>
        <cdr:cNvSpPr txBox="1"/>
      </cdr:nvSpPr>
      <cdr:spPr>
        <a:xfrm xmlns:a="http://schemas.openxmlformats.org/drawingml/2006/main">
          <a:off x="1639819" y="1252346"/>
          <a:ext cx="914405" cy="70081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s-ES" sz="1100" b="1" kern="1200">
              <a:latin typeface="+mj-lt"/>
            </a:rPr>
            <a:t>CUMPLIMIENTO</a:t>
          </a:r>
        </a:p>
        <a:p xmlns:a="http://schemas.openxmlformats.org/drawingml/2006/main">
          <a:pPr algn="ctr"/>
          <a:endParaRPr lang="es-ES" sz="1100" b="1" kern="1200">
            <a:latin typeface="+mj-lt"/>
          </a:endParaRPr>
        </a:p>
        <a:p xmlns:a="http://schemas.openxmlformats.org/drawingml/2006/main">
          <a:pPr algn="ctr"/>
          <a:r>
            <a:rPr lang="es-ES" sz="1100" b="1" kern="1200">
              <a:latin typeface="+mj-lt"/>
            </a:rPr>
            <a:t>LAUDO</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80B65-E087-4D79-802B-C6D916FF8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658</Words>
  <Characters>3623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TAB</dc:creator>
  <cp:keywords/>
  <dc:description/>
  <cp:lastModifiedBy>Tab Sala2</cp:lastModifiedBy>
  <cp:revision>16</cp:revision>
  <cp:lastPrinted>2026-03-05T16:13:00Z</cp:lastPrinted>
  <dcterms:created xsi:type="dcterms:W3CDTF">2026-03-23T08:38:00Z</dcterms:created>
  <dcterms:modified xsi:type="dcterms:W3CDTF">2026-03-30T14:05:00Z</dcterms:modified>
</cp:coreProperties>
</file>