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drawings/drawing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4.xml" ContentType="application/vnd.openxmlformats-officedocument.drawingml.chartshapes+xml"/>
  <Override PartName="/word/charts/chart15.xml" ContentType="application/vnd.openxmlformats-officedocument.drawingml.chart+xml"/>
  <Override PartName="/word/drawings/drawing5.xml" ContentType="application/vnd.openxmlformats-officedocument.drawingml.chartshapes+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drawings/drawing6.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9F4A" w14:textId="6BC1B768" w:rsidR="00BC0BB8" w:rsidRPr="00EF4AF2" w:rsidRDefault="004C5551" w:rsidP="004C5551">
      <w:pPr>
        <w:jc w:val="center"/>
        <w:rPr>
          <w:rFonts w:ascii="Calibri Light" w:hAnsi="Calibri Light" w:cs="Calibri Light"/>
          <w:b/>
          <w:bCs/>
          <w:sz w:val="32"/>
          <w:szCs w:val="32"/>
        </w:rPr>
      </w:pPr>
      <w:r w:rsidRPr="00EF4AF2">
        <w:rPr>
          <w:rFonts w:ascii="Calibri Light" w:hAnsi="Calibri Light" w:cs="Calibri Light"/>
          <w:b/>
          <w:bCs/>
          <w:sz w:val="32"/>
          <w:szCs w:val="32"/>
        </w:rPr>
        <w:t>S</w:t>
      </w:r>
      <w:r w:rsidR="00A02DA7">
        <w:rPr>
          <w:rFonts w:ascii="Calibri Light" w:hAnsi="Calibri Light" w:cs="Calibri Light"/>
          <w:b/>
          <w:bCs/>
          <w:sz w:val="32"/>
          <w:szCs w:val="32"/>
        </w:rPr>
        <w:t>TATISTICS</w:t>
      </w:r>
      <w:r w:rsidRPr="00EF4AF2">
        <w:rPr>
          <w:rFonts w:ascii="Calibri Light" w:hAnsi="Calibri Light" w:cs="Calibri Light"/>
          <w:b/>
          <w:bCs/>
          <w:sz w:val="32"/>
          <w:szCs w:val="32"/>
        </w:rPr>
        <w:t xml:space="preserve"> 2025</w:t>
      </w:r>
    </w:p>
    <w:p w14:paraId="214F5FA9" w14:textId="0D0E7F61" w:rsidR="00BF384F" w:rsidRPr="00EF4AF2" w:rsidRDefault="00BF384F"/>
    <w:p w14:paraId="58C10DAC" w14:textId="45C5E7E4" w:rsidR="00A02DA7" w:rsidRPr="00712826" w:rsidRDefault="00A02DA7" w:rsidP="00A02DA7">
      <w:pPr>
        <w:jc w:val="center"/>
        <w:rPr>
          <w:rFonts w:ascii="Calibri Light" w:hAnsi="Calibri Light" w:cs="Calibri Light"/>
          <w:sz w:val="18"/>
          <w:szCs w:val="18"/>
          <w:lang w:val="en-GB"/>
        </w:rPr>
      </w:pPr>
      <w:r w:rsidRPr="00712826">
        <w:rPr>
          <w:rFonts w:ascii="Calibri Light" w:hAnsi="Calibri Light" w:cs="Calibri Light"/>
          <w:sz w:val="18"/>
          <w:szCs w:val="18"/>
          <w:lang w:val="en-GB"/>
        </w:rPr>
        <w:t xml:space="preserve">During the year 2025, </w:t>
      </w:r>
      <w:r w:rsidRPr="00712826">
        <w:rPr>
          <w:rFonts w:ascii="Calibri Light" w:hAnsi="Calibri Light" w:cs="Calibri Light"/>
          <w:b/>
          <w:bCs/>
          <w:sz w:val="20"/>
          <w:szCs w:val="20"/>
          <w:lang w:val="en-GB"/>
        </w:rPr>
        <w:t>73</w:t>
      </w:r>
      <w:r w:rsidRPr="00712826">
        <w:rPr>
          <w:rFonts w:ascii="Calibri Light" w:hAnsi="Calibri Light" w:cs="Calibri Light"/>
          <w:sz w:val="18"/>
          <w:szCs w:val="18"/>
          <w:lang w:val="en-GB"/>
        </w:rPr>
        <w:t xml:space="preserve"> </w:t>
      </w:r>
      <w:r w:rsidR="00E427E1">
        <w:rPr>
          <w:rFonts w:ascii="Calibri Light" w:hAnsi="Calibri Light" w:cs="Calibri Light"/>
          <w:sz w:val="18"/>
          <w:szCs w:val="18"/>
          <w:lang w:val="en-GB"/>
        </w:rPr>
        <w:t>cases</w:t>
      </w:r>
      <w:r w:rsidRPr="00712826">
        <w:rPr>
          <w:rFonts w:ascii="Calibri Light" w:hAnsi="Calibri Light" w:cs="Calibri Light"/>
          <w:sz w:val="18"/>
          <w:szCs w:val="18"/>
          <w:lang w:val="en-GB"/>
        </w:rPr>
        <w:t xml:space="preserve"> </w:t>
      </w:r>
      <w:r w:rsidR="00E427E1">
        <w:rPr>
          <w:rFonts w:ascii="Calibri Light" w:hAnsi="Calibri Light" w:cs="Calibri Light"/>
          <w:sz w:val="18"/>
          <w:szCs w:val="18"/>
          <w:lang w:val="en-GB"/>
        </w:rPr>
        <w:t>have been</w:t>
      </w:r>
      <w:r w:rsidRPr="00712826">
        <w:rPr>
          <w:rFonts w:ascii="Calibri Light" w:hAnsi="Calibri Light" w:cs="Calibri Light"/>
          <w:sz w:val="18"/>
          <w:szCs w:val="18"/>
          <w:lang w:val="en-GB"/>
        </w:rPr>
        <w:t xml:space="preserve"> handled, the same as last year, of which </w:t>
      </w:r>
      <w:r w:rsidRPr="00712826">
        <w:rPr>
          <w:rFonts w:ascii="Calibri Light" w:hAnsi="Calibri Light" w:cs="Calibri Light"/>
          <w:b/>
          <w:bCs/>
          <w:sz w:val="20"/>
          <w:szCs w:val="20"/>
          <w:lang w:val="en-GB"/>
        </w:rPr>
        <w:t>49</w:t>
      </w:r>
      <w:r w:rsidRPr="00712826">
        <w:rPr>
          <w:rFonts w:ascii="Calibri Light" w:hAnsi="Calibri Light" w:cs="Calibri Light"/>
          <w:sz w:val="18"/>
          <w:szCs w:val="18"/>
          <w:lang w:val="en-GB"/>
        </w:rPr>
        <w:t xml:space="preserve"> are still pending, and </w:t>
      </w:r>
      <w:r w:rsidRPr="00712826">
        <w:rPr>
          <w:rFonts w:ascii="Calibri Light" w:hAnsi="Calibri Light" w:cs="Calibri Light"/>
          <w:b/>
          <w:bCs/>
          <w:sz w:val="20"/>
          <w:szCs w:val="20"/>
          <w:lang w:val="en-GB"/>
        </w:rPr>
        <w:t>24</w:t>
      </w:r>
      <w:r w:rsidRPr="00712826">
        <w:rPr>
          <w:rFonts w:ascii="Calibri Light" w:hAnsi="Calibri Light" w:cs="Calibri Light"/>
          <w:sz w:val="18"/>
          <w:szCs w:val="18"/>
          <w:lang w:val="en-GB"/>
        </w:rPr>
        <w:t xml:space="preserve"> cases have been </w:t>
      </w:r>
      <w:r w:rsidR="00E427E1">
        <w:rPr>
          <w:rFonts w:ascii="Calibri Light" w:hAnsi="Calibri Light" w:cs="Calibri Light"/>
          <w:sz w:val="18"/>
          <w:szCs w:val="18"/>
          <w:lang w:val="en-GB"/>
        </w:rPr>
        <w:t>archived</w:t>
      </w:r>
      <w:r w:rsidRPr="00712826">
        <w:rPr>
          <w:rFonts w:ascii="Calibri Light" w:hAnsi="Calibri Light" w:cs="Calibri Light"/>
          <w:sz w:val="18"/>
          <w:szCs w:val="18"/>
          <w:lang w:val="en-GB"/>
        </w:rPr>
        <w:t>.</w:t>
      </w:r>
    </w:p>
    <w:p w14:paraId="01366BAF" w14:textId="58617A70" w:rsidR="00A02DA7" w:rsidRPr="00712826" w:rsidRDefault="00A02DA7" w:rsidP="00A02DA7">
      <w:pPr>
        <w:jc w:val="center"/>
        <w:rPr>
          <w:rFonts w:ascii="Calibri Light" w:hAnsi="Calibri Light" w:cs="Calibri Light"/>
          <w:sz w:val="18"/>
          <w:szCs w:val="18"/>
          <w:lang w:val="en-GB"/>
        </w:rPr>
      </w:pPr>
      <w:r w:rsidRPr="00712826">
        <w:rPr>
          <w:rFonts w:ascii="Calibri Light" w:hAnsi="Calibri Light" w:cs="Calibri Light"/>
          <w:sz w:val="18"/>
          <w:szCs w:val="18"/>
          <w:lang w:val="en-GB"/>
        </w:rPr>
        <w:t xml:space="preserve">It should be noted that there was an increase in new case filings during 2025, </w:t>
      </w:r>
      <w:r w:rsidR="00712826" w:rsidRPr="00712826">
        <w:rPr>
          <w:rFonts w:ascii="Calibri Light" w:hAnsi="Calibri Light" w:cs="Calibri Light"/>
          <w:sz w:val="18"/>
          <w:szCs w:val="18"/>
          <w:lang w:val="en-GB"/>
        </w:rPr>
        <w:t>totalling</w:t>
      </w:r>
      <w:r w:rsidRPr="00712826">
        <w:rPr>
          <w:rFonts w:ascii="Calibri Light" w:hAnsi="Calibri Light" w:cs="Calibri Light"/>
          <w:sz w:val="18"/>
          <w:szCs w:val="18"/>
          <w:lang w:val="en-GB"/>
        </w:rPr>
        <w:t xml:space="preserve"> </w:t>
      </w:r>
      <w:r w:rsidRPr="00712826">
        <w:rPr>
          <w:rFonts w:ascii="Calibri Light" w:hAnsi="Calibri Light" w:cs="Calibri Light"/>
          <w:b/>
          <w:bCs/>
          <w:sz w:val="20"/>
          <w:szCs w:val="20"/>
          <w:lang w:val="en-GB"/>
        </w:rPr>
        <w:t>41</w:t>
      </w:r>
      <w:r w:rsidRPr="00712826">
        <w:rPr>
          <w:rFonts w:ascii="Calibri Light" w:hAnsi="Calibri Light" w:cs="Calibri Light"/>
          <w:sz w:val="18"/>
          <w:szCs w:val="18"/>
          <w:lang w:val="en-GB"/>
        </w:rPr>
        <w:t xml:space="preserve"> cases, </w:t>
      </w:r>
      <w:r w:rsidRPr="00712826">
        <w:rPr>
          <w:rFonts w:ascii="Calibri Light" w:hAnsi="Calibri Light" w:cs="Calibri Light"/>
          <w:b/>
          <w:bCs/>
          <w:sz w:val="20"/>
          <w:szCs w:val="20"/>
          <w:lang w:val="en-GB"/>
        </w:rPr>
        <w:t>10</w:t>
      </w:r>
      <w:r w:rsidRPr="00712826">
        <w:rPr>
          <w:rFonts w:ascii="Calibri Light" w:hAnsi="Calibri Light" w:cs="Calibri Light"/>
          <w:sz w:val="18"/>
          <w:szCs w:val="18"/>
          <w:lang w:val="en-GB"/>
        </w:rPr>
        <w:t xml:space="preserve"> of which were MASC cases.</w:t>
      </w:r>
    </w:p>
    <w:p w14:paraId="488B123F" w14:textId="6FC870C2" w:rsidR="00EF4AF2" w:rsidRPr="00712826" w:rsidRDefault="00A02DA7" w:rsidP="00A02DA7">
      <w:pPr>
        <w:jc w:val="center"/>
        <w:rPr>
          <w:lang w:val="en-GB"/>
        </w:rPr>
      </w:pPr>
      <w:r w:rsidRPr="00712826">
        <w:rPr>
          <w:rFonts w:ascii="Calibri Light" w:hAnsi="Calibri Light" w:cs="Calibri Light"/>
          <w:b/>
          <w:bCs/>
          <w:sz w:val="18"/>
          <w:szCs w:val="18"/>
          <w:lang w:val="en-GB"/>
        </w:rPr>
        <w:t xml:space="preserve">2 </w:t>
      </w:r>
      <w:r w:rsidRPr="00712826">
        <w:rPr>
          <w:rFonts w:ascii="Calibri Light" w:hAnsi="Calibri Light" w:cs="Calibri Light"/>
          <w:sz w:val="18"/>
          <w:szCs w:val="18"/>
          <w:lang w:val="en-GB"/>
        </w:rPr>
        <w:t xml:space="preserve">emergency arbitrations </w:t>
      </w:r>
      <w:r w:rsidR="00E427E1">
        <w:rPr>
          <w:rFonts w:ascii="Calibri Light" w:hAnsi="Calibri Light" w:cs="Calibri Light"/>
          <w:sz w:val="18"/>
          <w:szCs w:val="18"/>
          <w:lang w:val="en-GB"/>
        </w:rPr>
        <w:t>have been</w:t>
      </w:r>
      <w:r w:rsidRPr="00712826">
        <w:rPr>
          <w:rFonts w:ascii="Calibri Light" w:hAnsi="Calibri Light" w:cs="Calibri Light"/>
          <w:sz w:val="18"/>
          <w:szCs w:val="18"/>
          <w:lang w:val="en-GB"/>
        </w:rPr>
        <w:t xml:space="preserve"> conducted.</w:t>
      </w:r>
    </w:p>
    <w:p w14:paraId="53AF9319" w14:textId="77777777" w:rsidR="00EF4AF2" w:rsidRDefault="00EF4AF2" w:rsidP="00BF384F">
      <w:pPr>
        <w:jc w:val="right"/>
      </w:pPr>
    </w:p>
    <w:p w14:paraId="3E90C77D" w14:textId="77777777" w:rsidR="00A02DA7" w:rsidRDefault="00A02DA7" w:rsidP="00BF384F">
      <w:pPr>
        <w:jc w:val="right"/>
      </w:pPr>
    </w:p>
    <w:p w14:paraId="204D940C" w14:textId="1EAD52E6" w:rsidR="00A02DA7" w:rsidRDefault="00A02DA7" w:rsidP="00BF384F">
      <w:pPr>
        <w:jc w:val="right"/>
      </w:pPr>
    </w:p>
    <w:p w14:paraId="5A7E0623" w14:textId="7A520091" w:rsidR="000E3B62" w:rsidRDefault="00AF61B4" w:rsidP="00BF384F">
      <w:pPr>
        <w:jc w:val="right"/>
      </w:pPr>
      <w:r w:rsidRPr="00EF4AF2">
        <w:rPr>
          <w:noProof/>
        </w:rPr>
        <w:drawing>
          <wp:anchor distT="0" distB="0" distL="114300" distR="114300" simplePos="0" relativeHeight="251658240" behindDoc="1" locked="0" layoutInCell="1" allowOverlap="1" wp14:anchorId="3390E4BC" wp14:editId="31688B52">
            <wp:simplePos x="0" y="0"/>
            <wp:positionH relativeFrom="column">
              <wp:posOffset>2425700</wp:posOffset>
            </wp:positionH>
            <wp:positionV relativeFrom="paragraph">
              <wp:posOffset>193675</wp:posOffset>
            </wp:positionV>
            <wp:extent cx="4509770" cy="2741295"/>
            <wp:effectExtent l="0" t="0" r="5080" b="1905"/>
            <wp:wrapTight wrapText="bothSides">
              <wp:wrapPolygon edited="0">
                <wp:start x="0" y="0"/>
                <wp:lineTo x="0" y="21465"/>
                <wp:lineTo x="21533" y="21465"/>
                <wp:lineTo x="21533" y="0"/>
                <wp:lineTo x="0" y="0"/>
              </wp:wrapPolygon>
            </wp:wrapTight>
            <wp:docPr id="766469680" name="Gráfico 1">
              <a:extLst xmlns:a="http://schemas.openxmlformats.org/drawingml/2006/main">
                <a:ext uri="{FF2B5EF4-FFF2-40B4-BE49-F238E27FC236}">
                  <a16:creationId xmlns:a16="http://schemas.microsoft.com/office/drawing/2014/main" id="{344D4E36-CE3D-4232-BD7B-B04E8996D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324B21D6" w14:textId="321ADEFB" w:rsidR="00BF384F" w:rsidRPr="00EF4AF2" w:rsidRDefault="00BF384F" w:rsidP="00BF384F">
      <w:pPr>
        <w:jc w:val="right"/>
      </w:pPr>
    </w:p>
    <w:p w14:paraId="3640123C" w14:textId="77777777" w:rsidR="000E3B62" w:rsidRDefault="000E3B62" w:rsidP="000E3B62">
      <w:pPr>
        <w:jc w:val="center"/>
        <w:rPr>
          <w:rFonts w:ascii="Calibri Light" w:hAnsi="Calibri Light" w:cs="Calibri Light"/>
          <w:sz w:val="18"/>
          <w:szCs w:val="18"/>
        </w:rPr>
      </w:pPr>
    </w:p>
    <w:p w14:paraId="0D97054F" w14:textId="3D515CCB" w:rsidR="00EF4AF2" w:rsidRPr="00712826" w:rsidRDefault="00A02DA7" w:rsidP="001579B0">
      <w:pPr>
        <w:jc w:val="center"/>
        <w:rPr>
          <w:rFonts w:ascii="Calibri Light" w:hAnsi="Calibri Light" w:cs="Calibri Light"/>
          <w:b/>
          <w:bCs/>
          <w:sz w:val="28"/>
          <w:szCs w:val="28"/>
          <w:lang w:val="en-GB"/>
        </w:rPr>
      </w:pPr>
      <w:r w:rsidRPr="00712826">
        <w:rPr>
          <w:rFonts w:ascii="Calibri Light" w:hAnsi="Calibri Light" w:cs="Calibri Light"/>
          <w:sz w:val="18"/>
          <w:szCs w:val="18"/>
          <w:lang w:val="en-GB"/>
        </w:rPr>
        <w:t>As for the subjects of arbitration, the trend of recent years continues, with corporate law being the area of arbitration that accounts for the highest percentage. Also notable are collaboration agreements and contracts for the provision of professional and commercial services. The increase in arbitrations concerning tort and civil liability and insurance law should be highlighted.</w:t>
      </w:r>
    </w:p>
    <w:p w14:paraId="7D0B3B86" w14:textId="77777777" w:rsidR="00EF4AF2" w:rsidRPr="00EF4AF2" w:rsidRDefault="00EF4AF2" w:rsidP="001579B0">
      <w:pPr>
        <w:jc w:val="center"/>
        <w:rPr>
          <w:rFonts w:ascii="Calibri Light" w:hAnsi="Calibri Light" w:cs="Calibri Light"/>
          <w:b/>
          <w:bCs/>
          <w:sz w:val="28"/>
          <w:szCs w:val="28"/>
        </w:rPr>
      </w:pPr>
    </w:p>
    <w:p w14:paraId="6B3E398B" w14:textId="77777777" w:rsidR="00A02DA7" w:rsidRDefault="00A02DA7" w:rsidP="00AF61B4">
      <w:pPr>
        <w:rPr>
          <w:rFonts w:ascii="Calibri Light" w:hAnsi="Calibri Light" w:cs="Calibri Light"/>
          <w:b/>
          <w:bCs/>
          <w:sz w:val="28"/>
          <w:szCs w:val="28"/>
        </w:rPr>
      </w:pPr>
    </w:p>
    <w:p w14:paraId="79100813" w14:textId="455BC9C9" w:rsidR="001579B0" w:rsidRPr="00EF4AF2" w:rsidRDefault="00AF61B4" w:rsidP="00AF61B4">
      <w:pPr>
        <w:ind w:left="2124"/>
        <w:rPr>
          <w:rFonts w:ascii="Calibri Light" w:hAnsi="Calibri Light" w:cs="Calibri Light"/>
          <w:b/>
          <w:bCs/>
          <w:sz w:val="28"/>
          <w:szCs w:val="28"/>
        </w:rPr>
      </w:pPr>
      <w:r>
        <w:rPr>
          <w:rFonts w:ascii="Calibri Light" w:hAnsi="Calibri Light" w:cs="Calibri Light"/>
          <w:b/>
          <w:bCs/>
          <w:sz w:val="28"/>
          <w:szCs w:val="28"/>
        </w:rPr>
        <w:t xml:space="preserve">                                     </w:t>
      </w:r>
      <w:r w:rsidR="00A02DA7">
        <w:rPr>
          <w:rFonts w:ascii="Calibri Light" w:hAnsi="Calibri Light" w:cs="Calibri Light"/>
          <w:b/>
          <w:bCs/>
          <w:sz w:val="28"/>
          <w:szCs w:val="28"/>
        </w:rPr>
        <w:t>AMOUNTS</w:t>
      </w:r>
    </w:p>
    <w:p w14:paraId="13119714" w14:textId="191AA537" w:rsidR="00BF384F" w:rsidRPr="007F0E27" w:rsidRDefault="00697FB4" w:rsidP="001579B0">
      <w:pPr>
        <w:rPr>
          <w:sz w:val="18"/>
          <w:szCs w:val="18"/>
        </w:rPr>
      </w:pPr>
      <w:r w:rsidRPr="007F0E27">
        <w:rPr>
          <w:noProof/>
          <w:sz w:val="18"/>
          <w:szCs w:val="18"/>
        </w:rPr>
        <w:drawing>
          <wp:inline distT="0" distB="0" distL="0" distR="0" wp14:anchorId="2E40EAC6" wp14:editId="5B23BA51">
            <wp:extent cx="6782435" cy="2012608"/>
            <wp:effectExtent l="0" t="0" r="0" b="6985"/>
            <wp:docPr id="1348622673" name="Gráfico 1">
              <a:extLst xmlns:a="http://schemas.openxmlformats.org/drawingml/2006/main">
                <a:ext uri="{FF2B5EF4-FFF2-40B4-BE49-F238E27FC236}">
                  <a16:creationId xmlns:a16="http://schemas.microsoft.com/office/drawing/2014/main" id="{4E5E4C56-AF59-AB29-E70F-3D07BD748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3C5A90D" w14:textId="3AE8CE79" w:rsidR="00AF61B4" w:rsidRPr="00AF61B4" w:rsidRDefault="00AF61B4" w:rsidP="00AF61B4">
      <w:pPr>
        <w:jc w:val="center"/>
        <w:rPr>
          <w:rFonts w:ascii="Calibri Light" w:hAnsi="Calibri Light" w:cs="Calibri Light"/>
          <w:sz w:val="18"/>
          <w:szCs w:val="18"/>
          <w:lang w:val="en-US"/>
        </w:rPr>
      </w:pPr>
      <w:r w:rsidRPr="00AF61B4">
        <w:rPr>
          <w:rFonts w:ascii="Calibri Light" w:hAnsi="Calibri Light" w:cs="Calibri Light"/>
          <w:sz w:val="18"/>
          <w:szCs w:val="18"/>
          <w:lang w:val="en-US"/>
        </w:rPr>
        <w:t xml:space="preserve">We highlight that the maximum </w:t>
      </w:r>
      <w:proofErr w:type="gramStart"/>
      <w:r w:rsidRPr="00AF61B4">
        <w:rPr>
          <w:rFonts w:ascii="Calibri Light" w:hAnsi="Calibri Light" w:cs="Calibri Light"/>
          <w:sz w:val="18"/>
          <w:szCs w:val="18"/>
          <w:lang w:val="en-US"/>
        </w:rPr>
        <w:t>amount</w:t>
      </w:r>
      <w:proofErr w:type="gramEnd"/>
      <w:r w:rsidRPr="00AF61B4">
        <w:rPr>
          <w:rFonts w:ascii="Calibri Light" w:hAnsi="Calibri Light" w:cs="Calibri Light"/>
          <w:sz w:val="18"/>
          <w:szCs w:val="18"/>
          <w:lang w:val="en-US"/>
        </w:rPr>
        <w:t xml:space="preserve"> of </w:t>
      </w:r>
      <w:r w:rsidR="00E427E1">
        <w:rPr>
          <w:rFonts w:ascii="Calibri Light" w:hAnsi="Calibri Light" w:cs="Calibri Light"/>
          <w:sz w:val="18"/>
          <w:szCs w:val="18"/>
          <w:lang w:val="en-US"/>
        </w:rPr>
        <w:t xml:space="preserve">files this year amounted to </w:t>
      </w:r>
      <w:r w:rsidRPr="00AF61B4">
        <w:rPr>
          <w:rFonts w:ascii="Calibri Light" w:hAnsi="Calibri Light" w:cs="Calibri Light"/>
          <w:sz w:val="18"/>
          <w:szCs w:val="18"/>
          <w:lang w:val="en-US"/>
        </w:rPr>
        <w:t xml:space="preserve">7,398,562.81€, while the </w:t>
      </w:r>
      <w:r w:rsidR="007F598A" w:rsidRPr="00AF61B4">
        <w:rPr>
          <w:rFonts w:ascii="Calibri Light" w:hAnsi="Calibri Light" w:cs="Calibri Light"/>
          <w:sz w:val="18"/>
          <w:szCs w:val="18"/>
          <w:lang w:val="en-US"/>
        </w:rPr>
        <w:t>minimum</w:t>
      </w:r>
      <w:r w:rsidRPr="00AF61B4">
        <w:rPr>
          <w:rFonts w:ascii="Calibri Light" w:hAnsi="Calibri Light" w:cs="Calibri Light"/>
          <w:sz w:val="18"/>
          <w:szCs w:val="18"/>
          <w:lang w:val="en-US"/>
        </w:rPr>
        <w:t xml:space="preserve"> </w:t>
      </w:r>
      <w:r w:rsidR="00E427E1">
        <w:rPr>
          <w:rFonts w:ascii="Calibri Light" w:hAnsi="Calibri Light" w:cs="Calibri Light"/>
          <w:sz w:val="18"/>
          <w:szCs w:val="18"/>
          <w:lang w:val="en-US"/>
        </w:rPr>
        <w:t>amounted</w:t>
      </w:r>
      <w:r w:rsidR="00E427E1" w:rsidRPr="00AF61B4">
        <w:rPr>
          <w:rFonts w:ascii="Calibri Light" w:hAnsi="Calibri Light" w:cs="Calibri Light"/>
          <w:sz w:val="18"/>
          <w:szCs w:val="18"/>
          <w:lang w:val="en-US"/>
        </w:rPr>
        <w:t xml:space="preserve"> to 2,995.68</w:t>
      </w:r>
      <w:r w:rsidRPr="00AF61B4">
        <w:rPr>
          <w:rFonts w:ascii="Calibri Light" w:hAnsi="Calibri Light" w:cs="Calibri Light"/>
          <w:sz w:val="18"/>
          <w:szCs w:val="18"/>
          <w:lang w:val="en-US"/>
        </w:rPr>
        <w:t xml:space="preserve">. This year, the maximum amount has decreased; however, </w:t>
      </w:r>
      <w:r w:rsidR="00E427E1">
        <w:rPr>
          <w:rFonts w:ascii="Calibri Light" w:hAnsi="Calibri Light" w:cs="Calibri Light"/>
          <w:sz w:val="18"/>
          <w:szCs w:val="18"/>
          <w:lang w:val="en-US"/>
        </w:rPr>
        <w:t>although</w:t>
      </w:r>
      <w:r w:rsidRPr="00AF61B4">
        <w:rPr>
          <w:rFonts w:ascii="Calibri Light" w:hAnsi="Calibri Light" w:cs="Calibri Light"/>
          <w:sz w:val="18"/>
          <w:szCs w:val="18"/>
          <w:lang w:val="en-US"/>
        </w:rPr>
        <w:t xml:space="preserve"> the total </w:t>
      </w:r>
      <w:r w:rsidR="00E427E1" w:rsidRPr="00AF61B4">
        <w:rPr>
          <w:rFonts w:ascii="Calibri Light" w:hAnsi="Calibri Light" w:cs="Calibri Light"/>
          <w:sz w:val="18"/>
          <w:szCs w:val="18"/>
          <w:lang w:val="en-US"/>
        </w:rPr>
        <w:t>amount</w:t>
      </w:r>
      <w:r w:rsidRPr="00AF61B4">
        <w:rPr>
          <w:rFonts w:ascii="Calibri Light" w:hAnsi="Calibri Light" w:cs="Calibri Light"/>
          <w:sz w:val="18"/>
          <w:szCs w:val="18"/>
          <w:lang w:val="en-US"/>
        </w:rPr>
        <w:t xml:space="preserve"> has been an increase of 4,071,841.64€.</w:t>
      </w:r>
      <w:r w:rsidR="00E427E1">
        <w:rPr>
          <w:rFonts w:ascii="Calibri Light" w:hAnsi="Calibri Light" w:cs="Calibri Light"/>
          <w:sz w:val="18"/>
          <w:szCs w:val="18"/>
          <w:lang w:val="en-US"/>
        </w:rPr>
        <w:t xml:space="preserve"> </w:t>
      </w:r>
      <w:r w:rsidRPr="00AF61B4">
        <w:rPr>
          <w:rFonts w:ascii="Calibri Light" w:hAnsi="Calibri Light" w:cs="Calibri Light"/>
          <w:sz w:val="18"/>
          <w:szCs w:val="18"/>
          <w:lang w:val="en-US"/>
        </w:rPr>
        <w:t xml:space="preserve">In relation to small-claims arbitrations, the minimum fees payable to the arbitrator have been increased, </w:t>
      </w:r>
      <w:r w:rsidR="00E427E1">
        <w:rPr>
          <w:rFonts w:ascii="Calibri Light" w:hAnsi="Calibri Light" w:cs="Calibri Light"/>
          <w:sz w:val="18"/>
          <w:szCs w:val="18"/>
          <w:lang w:val="en-US"/>
        </w:rPr>
        <w:t>given</w:t>
      </w:r>
      <w:r w:rsidRPr="00AF61B4">
        <w:rPr>
          <w:rFonts w:ascii="Calibri Light" w:hAnsi="Calibri Light" w:cs="Calibri Light"/>
          <w:sz w:val="18"/>
          <w:szCs w:val="18"/>
          <w:lang w:val="en-US"/>
        </w:rPr>
        <w:t xml:space="preserve"> the s</w:t>
      </w:r>
      <w:r w:rsidR="007F598A">
        <w:rPr>
          <w:rFonts w:ascii="Calibri Light" w:hAnsi="Calibri Light" w:cs="Calibri Light"/>
          <w:sz w:val="18"/>
          <w:szCs w:val="18"/>
          <w:lang w:val="en-US"/>
        </w:rPr>
        <w:t>tate</w:t>
      </w:r>
      <w:r w:rsidRPr="00AF61B4">
        <w:rPr>
          <w:rFonts w:ascii="Calibri Light" w:hAnsi="Calibri Light" w:cs="Calibri Light"/>
          <w:sz w:val="18"/>
          <w:szCs w:val="18"/>
          <w:lang w:val="en-US"/>
        </w:rPr>
        <w:t xml:space="preserve"> of the solidarity fund.</w:t>
      </w:r>
    </w:p>
    <w:p w14:paraId="73D371D5" w14:textId="70F328A4" w:rsidR="007F0E27" w:rsidRDefault="007F0E27" w:rsidP="003243AD">
      <w:pPr>
        <w:jc w:val="center"/>
        <w:rPr>
          <w:rFonts w:ascii="Calibri Light" w:hAnsi="Calibri Light" w:cs="Calibri Light"/>
          <w:sz w:val="18"/>
          <w:szCs w:val="18"/>
        </w:rPr>
      </w:pPr>
    </w:p>
    <w:p w14:paraId="39837183" w14:textId="77777777" w:rsidR="00883A36" w:rsidRDefault="00883A36" w:rsidP="003243AD">
      <w:pPr>
        <w:jc w:val="center"/>
        <w:rPr>
          <w:rFonts w:ascii="Calibri Light" w:hAnsi="Calibri Light" w:cs="Calibri Light"/>
          <w:sz w:val="18"/>
          <w:szCs w:val="18"/>
        </w:rPr>
      </w:pPr>
    </w:p>
    <w:p w14:paraId="5556B08E" w14:textId="77777777" w:rsidR="00883A36" w:rsidRPr="007F0E27" w:rsidRDefault="00883A36" w:rsidP="003243AD">
      <w:pPr>
        <w:jc w:val="center"/>
        <w:rPr>
          <w:rFonts w:ascii="Calibri Light" w:hAnsi="Calibri Light" w:cs="Calibri Light"/>
          <w:sz w:val="18"/>
          <w:szCs w:val="18"/>
        </w:rPr>
      </w:pPr>
    </w:p>
    <w:p w14:paraId="7AECE379" w14:textId="34EC9F39" w:rsidR="00DD0C1B" w:rsidRPr="00EF4AF2" w:rsidRDefault="00AF61B4" w:rsidP="00D92200">
      <w:pPr>
        <w:jc w:val="center"/>
        <w:rPr>
          <w:rFonts w:ascii="Calibri Light" w:hAnsi="Calibri Light" w:cs="Calibri Light"/>
          <w:b/>
          <w:bCs/>
          <w:sz w:val="28"/>
          <w:szCs w:val="28"/>
        </w:rPr>
      </w:pPr>
      <w:r>
        <w:rPr>
          <w:rFonts w:ascii="Calibri Light" w:hAnsi="Calibri Light" w:cs="Calibri Light"/>
          <w:b/>
          <w:bCs/>
          <w:sz w:val="28"/>
          <w:szCs w:val="28"/>
        </w:rPr>
        <w:lastRenderedPageBreak/>
        <w:t xml:space="preserve">AMOUNT </w:t>
      </w:r>
      <w:r w:rsidR="00BF1FA4">
        <w:rPr>
          <w:rFonts w:ascii="Calibri Light" w:hAnsi="Calibri Light" w:cs="Calibri Light"/>
          <w:b/>
          <w:bCs/>
          <w:sz w:val="28"/>
          <w:szCs w:val="28"/>
        </w:rPr>
        <w:t>RANGES</w:t>
      </w:r>
    </w:p>
    <w:p w14:paraId="579C3BE1" w14:textId="1023F750" w:rsidR="00DD0C1B" w:rsidRPr="00EF4AF2" w:rsidRDefault="009C17EF" w:rsidP="001579B0">
      <w:r>
        <w:rPr>
          <w:noProof/>
        </w:rPr>
        <w:drawing>
          <wp:inline distT="0" distB="0" distL="0" distR="0" wp14:anchorId="1B01D9AC" wp14:editId="646EAD69">
            <wp:extent cx="3552729" cy="2231390"/>
            <wp:effectExtent l="0" t="0" r="0" b="0"/>
            <wp:docPr id="1816215184" name="Gráfico 1">
              <a:extLst xmlns:a="http://schemas.openxmlformats.org/drawingml/2006/main">
                <a:ext uri="{FF2B5EF4-FFF2-40B4-BE49-F238E27FC236}">
                  <a16:creationId xmlns:a16="http://schemas.microsoft.com/office/drawing/2014/main" id="{5139BF84-4CEB-63D0-7927-6522ACF61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4ED376B4" wp14:editId="0DDFE8E4">
            <wp:extent cx="3217653" cy="2244725"/>
            <wp:effectExtent l="0" t="0" r="1905" b="3175"/>
            <wp:docPr id="1845453875" name="Gráfico 1">
              <a:extLst xmlns:a="http://schemas.openxmlformats.org/drawingml/2006/main">
                <a:ext uri="{FF2B5EF4-FFF2-40B4-BE49-F238E27FC236}">
                  <a16:creationId xmlns:a16="http://schemas.microsoft.com/office/drawing/2014/main" id="{8C7544F9-E3AB-174F-C13D-8432212DC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0351FD" w14:textId="6CB15386" w:rsidR="006050BB" w:rsidRPr="000F2A0E" w:rsidRDefault="00E61BFE" w:rsidP="00DC3281">
      <w:pPr>
        <w:jc w:val="center"/>
        <w:rPr>
          <w:rFonts w:ascii="Calibri Light" w:hAnsi="Calibri Light" w:cs="Calibri Light"/>
          <w:sz w:val="18"/>
          <w:szCs w:val="18"/>
          <w:lang w:val="en-GB"/>
        </w:rPr>
      </w:pPr>
      <w:r w:rsidRPr="000F2A0E">
        <w:rPr>
          <w:rFonts w:ascii="Calibri Light" w:hAnsi="Calibri Light" w:cs="Calibri Light"/>
          <w:sz w:val="18"/>
          <w:szCs w:val="18"/>
          <w:lang w:val="en-GB"/>
        </w:rPr>
        <w:t xml:space="preserve">Regarding the value </w:t>
      </w:r>
      <w:r w:rsidR="006050BB" w:rsidRPr="000F2A0E">
        <w:rPr>
          <w:rFonts w:ascii="Calibri Light" w:hAnsi="Calibri Light" w:cs="Calibri Light"/>
          <w:sz w:val="18"/>
          <w:szCs w:val="18"/>
          <w:lang w:val="en-GB"/>
        </w:rPr>
        <w:t>band</w:t>
      </w:r>
      <w:r w:rsidRPr="000F2A0E">
        <w:rPr>
          <w:rFonts w:ascii="Calibri Light" w:hAnsi="Calibri Light" w:cs="Calibri Light"/>
          <w:sz w:val="18"/>
          <w:szCs w:val="18"/>
          <w:lang w:val="en-GB"/>
        </w:rPr>
        <w:t xml:space="preserve">s, the trend remains the same, with the </w:t>
      </w:r>
      <w:r w:rsidR="006050BB" w:rsidRPr="000F2A0E">
        <w:rPr>
          <w:rFonts w:ascii="Calibri Light" w:hAnsi="Calibri Light" w:cs="Calibri Light"/>
          <w:sz w:val="18"/>
          <w:szCs w:val="18"/>
          <w:lang w:val="en-GB"/>
        </w:rPr>
        <w:t>band from €180,000.00 to €600,000.00 accounting for the highest percentage, representing almost half of the cases currently under way. An increase is noted in cases with a value exceeding €1,500,000.00, which has risen from 5% in 2024 to 13% in 2025.</w:t>
      </w:r>
    </w:p>
    <w:p w14:paraId="74273B19" w14:textId="4134E5D9" w:rsidR="003243AD" w:rsidRPr="003243AD" w:rsidRDefault="003243AD" w:rsidP="00DC3281">
      <w:pPr>
        <w:jc w:val="center"/>
        <w:rPr>
          <w:rFonts w:ascii="Calibri Light" w:hAnsi="Calibri Light" w:cs="Calibri Light"/>
          <w:b/>
          <w:bCs/>
          <w:sz w:val="28"/>
          <w:szCs w:val="28"/>
        </w:rPr>
      </w:pPr>
      <w:r w:rsidRPr="003243AD">
        <w:rPr>
          <w:rFonts w:ascii="Calibri Light" w:hAnsi="Calibri Light" w:cs="Calibri Light"/>
          <w:b/>
          <w:bCs/>
          <w:sz w:val="28"/>
          <w:szCs w:val="28"/>
        </w:rPr>
        <w:t>MOD</w:t>
      </w:r>
      <w:r w:rsidR="00E61BFE">
        <w:rPr>
          <w:rFonts w:ascii="Calibri Light" w:hAnsi="Calibri Light" w:cs="Calibri Light"/>
          <w:b/>
          <w:bCs/>
          <w:sz w:val="28"/>
          <w:szCs w:val="28"/>
        </w:rPr>
        <w:t>E</w:t>
      </w:r>
    </w:p>
    <w:p w14:paraId="62E2DDC3" w14:textId="2ACD301D" w:rsidR="001579B0" w:rsidRDefault="005D12E1" w:rsidP="001579B0">
      <w:pPr>
        <w:rPr>
          <w:noProof/>
        </w:rPr>
      </w:pPr>
      <w:r>
        <w:rPr>
          <w:noProof/>
        </w:rPr>
        <w:drawing>
          <wp:inline distT="0" distB="0" distL="0" distR="0" wp14:anchorId="4116431C" wp14:editId="46D86A96">
            <wp:extent cx="3309582" cy="1842135"/>
            <wp:effectExtent l="0" t="0" r="5715" b="5715"/>
            <wp:docPr id="1371373461" name="Gráfico 1">
              <a:extLst xmlns:a="http://schemas.openxmlformats.org/drawingml/2006/main">
                <a:ext uri="{FF2B5EF4-FFF2-40B4-BE49-F238E27FC236}">
                  <a16:creationId xmlns:a16="http://schemas.microsoft.com/office/drawing/2014/main" id="{142D7F89-B190-586F-5729-F3D4F8390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62E30">
        <w:rPr>
          <w:noProof/>
        </w:rPr>
        <w:drawing>
          <wp:inline distT="0" distB="0" distL="0" distR="0" wp14:anchorId="1CBBA453" wp14:editId="66C5F3BE">
            <wp:extent cx="3486150" cy="1842286"/>
            <wp:effectExtent l="0" t="0" r="0" b="5715"/>
            <wp:docPr id="309124194" name="Gráfico 1">
              <a:extLst xmlns:a="http://schemas.openxmlformats.org/drawingml/2006/main">
                <a:ext uri="{FF2B5EF4-FFF2-40B4-BE49-F238E27FC236}">
                  <a16:creationId xmlns:a16="http://schemas.microsoft.com/office/drawing/2014/main" id="{1B1B457F-DFF4-E089-F62E-3DAE9D659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171431" w14:textId="1B5FF484" w:rsidR="006050BB" w:rsidRPr="006050BB" w:rsidRDefault="006050BB" w:rsidP="006050BB">
      <w:pPr>
        <w:jc w:val="center"/>
        <w:rPr>
          <w:rFonts w:ascii="Calibri Light" w:hAnsi="Calibri Light" w:cs="Calibri Light"/>
          <w:noProof/>
          <w:sz w:val="18"/>
          <w:szCs w:val="18"/>
        </w:rPr>
      </w:pPr>
      <w:r w:rsidRPr="006050BB">
        <w:rPr>
          <w:rFonts w:ascii="Calibri Light" w:hAnsi="Calibri Light" w:cs="Calibri Light"/>
          <w:noProof/>
          <w:sz w:val="18"/>
          <w:szCs w:val="18"/>
        </w:rPr>
        <w:t>As far as the rate bands are concerned, we highlight the band from €180,001.00 to €600,000.00, which carries the same percentage as the band from €20,001.00 to €180,001.00.</w:t>
      </w:r>
    </w:p>
    <w:p w14:paraId="4F2A6113" w14:textId="7B631DF4" w:rsidR="00697FB4" w:rsidRPr="009C17EF" w:rsidRDefault="00E27C00" w:rsidP="00D92200">
      <w:pPr>
        <w:jc w:val="center"/>
        <w:rPr>
          <w:rFonts w:ascii="Calibri Light" w:hAnsi="Calibri Light" w:cs="Calibri Light"/>
          <w:b/>
          <w:bCs/>
          <w:noProof/>
          <w:sz w:val="28"/>
          <w:szCs w:val="28"/>
        </w:rPr>
      </w:pPr>
      <w:r>
        <w:rPr>
          <w:rFonts w:ascii="Calibri Light" w:hAnsi="Calibri Light" w:cs="Calibri Light"/>
          <w:b/>
          <w:bCs/>
          <w:noProof/>
          <w:sz w:val="28"/>
          <w:szCs w:val="28"/>
        </w:rPr>
        <w:t>QUANTITATIVE EVOLUTION</w:t>
      </w:r>
      <w:r w:rsidR="00303899" w:rsidRPr="009C17EF">
        <w:rPr>
          <w:rFonts w:ascii="Calibri Light" w:hAnsi="Calibri Light" w:cs="Calibri Light"/>
          <w:b/>
          <w:bCs/>
          <w:noProof/>
          <w:sz w:val="28"/>
          <w:szCs w:val="28"/>
        </w:rPr>
        <w:t xml:space="preserve"> 2020-2025</w:t>
      </w:r>
    </w:p>
    <w:p w14:paraId="6D910E2E" w14:textId="4EE6671C" w:rsidR="00697FB4" w:rsidRDefault="00303899" w:rsidP="00D92200">
      <w:pPr>
        <w:jc w:val="center"/>
        <w:rPr>
          <w:rFonts w:ascii="Calibri Light" w:hAnsi="Calibri Light" w:cs="Calibri Light"/>
          <w:b/>
          <w:bCs/>
          <w:noProof/>
          <w:sz w:val="28"/>
          <w:szCs w:val="28"/>
        </w:rPr>
      </w:pPr>
      <w:r w:rsidRPr="00EF4AF2">
        <w:rPr>
          <w:noProof/>
        </w:rPr>
        <w:drawing>
          <wp:inline distT="0" distB="0" distL="0" distR="0" wp14:anchorId="780E7E0D" wp14:editId="54A0E5A9">
            <wp:extent cx="6915150" cy="2146300"/>
            <wp:effectExtent l="0" t="0" r="0" b="6350"/>
            <wp:docPr id="1846074298" name="Gráfico 1">
              <a:extLst xmlns:a="http://schemas.openxmlformats.org/drawingml/2006/main">
                <a:ext uri="{FF2B5EF4-FFF2-40B4-BE49-F238E27FC236}">
                  <a16:creationId xmlns:a16="http://schemas.microsoft.com/office/drawing/2014/main" id="{0096D408-0E7F-7AE8-E488-6ECA98AF3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5FAE3A" w14:textId="146B0EBA" w:rsidR="00715FA0" w:rsidRPr="00715FA0" w:rsidRDefault="00715FA0" w:rsidP="00D92200">
      <w:pPr>
        <w:jc w:val="center"/>
        <w:rPr>
          <w:rFonts w:ascii="Calibri Light" w:hAnsi="Calibri Light" w:cs="Calibri Light"/>
          <w:noProof/>
          <w:sz w:val="18"/>
          <w:szCs w:val="18"/>
        </w:rPr>
      </w:pPr>
      <w:r w:rsidRPr="00715FA0">
        <w:rPr>
          <w:rFonts w:ascii="Calibri Light" w:hAnsi="Calibri Light" w:cs="Calibri Light"/>
          <w:noProof/>
          <w:sz w:val="18"/>
          <w:szCs w:val="18"/>
        </w:rPr>
        <w:t>As for the evolution of case amounts, there has been a significant increase this year compared with the past three years, with the amount now very close to the total for 2022. The same applies to the total capped amount, which has also seen a considerable rise.</w:t>
      </w:r>
    </w:p>
    <w:p w14:paraId="1B818089" w14:textId="067A3A98" w:rsidR="00303899" w:rsidRPr="00EF4AF2" w:rsidRDefault="00DF4CD4" w:rsidP="00D92200">
      <w:pPr>
        <w:jc w:val="center"/>
        <w:rPr>
          <w:rFonts w:ascii="Calibri Light" w:hAnsi="Calibri Light" w:cs="Calibri Light"/>
          <w:b/>
          <w:bCs/>
          <w:noProof/>
          <w:sz w:val="28"/>
          <w:szCs w:val="28"/>
        </w:rPr>
      </w:pPr>
      <w:r>
        <w:rPr>
          <w:noProof/>
        </w:rPr>
        <w:lastRenderedPageBreak/>
        <w:drawing>
          <wp:inline distT="0" distB="0" distL="0" distR="0" wp14:anchorId="1A267E03" wp14:editId="5C032181">
            <wp:extent cx="6840220" cy="2267712"/>
            <wp:effectExtent l="0" t="0" r="0" b="0"/>
            <wp:docPr id="6931922" name="Gráfico 1">
              <a:extLst xmlns:a="http://schemas.openxmlformats.org/drawingml/2006/main">
                <a:ext uri="{FF2B5EF4-FFF2-40B4-BE49-F238E27FC236}">
                  <a16:creationId xmlns:a16="http://schemas.microsoft.com/office/drawing/2014/main" id="{7A9FA355-818B-F9EB-4871-A85880576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F3C0BB" w14:textId="375FBA1F" w:rsidR="00303899" w:rsidRPr="00385FFD" w:rsidRDefault="00E27C00" w:rsidP="00E27C00">
      <w:pPr>
        <w:jc w:val="center"/>
        <w:rPr>
          <w:rFonts w:ascii="Calibri Light" w:hAnsi="Calibri Light" w:cs="Calibri Light"/>
          <w:noProof/>
          <w:sz w:val="18"/>
          <w:szCs w:val="18"/>
        </w:rPr>
      </w:pPr>
      <w:r w:rsidRPr="00E27C00">
        <w:rPr>
          <w:rFonts w:ascii="Calibri Light" w:hAnsi="Calibri Light" w:cs="Calibri Light"/>
          <w:noProof/>
          <w:sz w:val="18"/>
          <w:szCs w:val="18"/>
        </w:rPr>
        <w:t>Regarding the average amount, an upward trend has been observed since 2022, which continues in relation to the capped average amount.</w:t>
      </w:r>
    </w:p>
    <w:p w14:paraId="430C2EC9" w14:textId="77777777" w:rsidR="002C5FFC" w:rsidRPr="00134A14" w:rsidRDefault="002C5FFC" w:rsidP="00D92200">
      <w:pPr>
        <w:jc w:val="center"/>
        <w:rPr>
          <w:rFonts w:ascii="Calibri Light" w:hAnsi="Calibri Light" w:cs="Calibri Light"/>
          <w:b/>
          <w:bCs/>
          <w:noProof/>
          <w:sz w:val="20"/>
          <w:szCs w:val="20"/>
        </w:rPr>
      </w:pPr>
    </w:p>
    <w:p w14:paraId="5572C3C7" w14:textId="2FD6C390" w:rsidR="00D92200" w:rsidRPr="00EF4AF2" w:rsidRDefault="00D92200" w:rsidP="00D92200">
      <w:pPr>
        <w:jc w:val="center"/>
        <w:rPr>
          <w:rFonts w:ascii="Calibri Light" w:hAnsi="Calibri Light" w:cs="Calibri Light"/>
          <w:b/>
          <w:bCs/>
          <w:noProof/>
          <w:sz w:val="28"/>
          <w:szCs w:val="28"/>
        </w:rPr>
      </w:pPr>
      <w:r w:rsidRPr="00EF4AF2">
        <w:rPr>
          <w:rFonts w:ascii="Calibri Light" w:hAnsi="Calibri Light" w:cs="Calibri Light"/>
          <w:b/>
          <w:bCs/>
          <w:noProof/>
          <w:sz w:val="28"/>
          <w:szCs w:val="28"/>
        </w:rPr>
        <w:t>DURA</w:t>
      </w:r>
      <w:r w:rsidR="00E27C00">
        <w:rPr>
          <w:rFonts w:ascii="Calibri Light" w:hAnsi="Calibri Light" w:cs="Calibri Light"/>
          <w:b/>
          <w:bCs/>
          <w:noProof/>
          <w:sz w:val="28"/>
          <w:szCs w:val="28"/>
        </w:rPr>
        <w:t>TION OF ARBITRATION</w:t>
      </w:r>
    </w:p>
    <w:p w14:paraId="113AB68D" w14:textId="38778E14" w:rsidR="00D92200" w:rsidRDefault="00B46949" w:rsidP="00B46949">
      <w:pPr>
        <w:jc w:val="center"/>
        <w:rPr>
          <w:noProof/>
        </w:rPr>
      </w:pPr>
      <w:r>
        <w:rPr>
          <w:noProof/>
        </w:rPr>
        <w:drawing>
          <wp:inline distT="0" distB="0" distL="0" distR="0" wp14:anchorId="5D926AAF" wp14:editId="7C99F76C">
            <wp:extent cx="6052820" cy="1600200"/>
            <wp:effectExtent l="0" t="0" r="5080" b="0"/>
            <wp:docPr id="940567402" name="Gráfico 1">
              <a:extLst xmlns:a="http://schemas.openxmlformats.org/drawingml/2006/main">
                <a:ext uri="{FF2B5EF4-FFF2-40B4-BE49-F238E27FC236}">
                  <a16:creationId xmlns:a16="http://schemas.microsoft.com/office/drawing/2014/main" id="{73A2B278-1F91-44FC-956F-DF5A69DEF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9CDD47" w14:textId="77777777" w:rsidR="00E27C00" w:rsidRDefault="00E27C00" w:rsidP="007A315D">
      <w:pPr>
        <w:jc w:val="center"/>
        <w:rPr>
          <w:rFonts w:ascii="Calibri Light" w:hAnsi="Calibri Light" w:cs="Calibri Light"/>
          <w:noProof/>
          <w:sz w:val="20"/>
          <w:szCs w:val="20"/>
        </w:rPr>
      </w:pPr>
      <w:r w:rsidRPr="00E27C00">
        <w:rPr>
          <w:rFonts w:ascii="Calibri Light" w:hAnsi="Calibri Light" w:cs="Calibri Light"/>
          <w:noProof/>
          <w:sz w:val="20"/>
          <w:szCs w:val="20"/>
        </w:rPr>
        <w:t>Regarding the duration of the arbitration proceedings, the estimated average duration of arbitrated proceedings in 2025 is</w:t>
      </w:r>
      <w:r>
        <w:rPr>
          <w:rFonts w:ascii="Calibri Light" w:hAnsi="Calibri Light" w:cs="Calibri Light"/>
          <w:noProof/>
          <w:sz w:val="20"/>
          <w:szCs w:val="20"/>
        </w:rPr>
        <w:t xml:space="preserve"> </w:t>
      </w:r>
    </w:p>
    <w:p w14:paraId="32FFAB74" w14:textId="39635411" w:rsidR="00B46949" w:rsidRPr="007A315D" w:rsidRDefault="007A315D" w:rsidP="007A315D">
      <w:pPr>
        <w:jc w:val="center"/>
        <w:rPr>
          <w:rFonts w:ascii="Calibri Light" w:hAnsi="Calibri Light" w:cs="Calibri Light"/>
          <w:noProof/>
          <w:sz w:val="20"/>
          <w:szCs w:val="20"/>
        </w:rPr>
      </w:pPr>
      <w:r w:rsidRPr="007A315D">
        <w:rPr>
          <w:rFonts w:ascii="Calibri Light" w:hAnsi="Calibri Light" w:cs="Calibri Light"/>
          <w:b/>
          <w:bCs/>
          <w:noProof/>
        </w:rPr>
        <w:t>10,2</w:t>
      </w:r>
      <w:r w:rsidRPr="007A315D">
        <w:rPr>
          <w:rFonts w:ascii="Calibri Light" w:hAnsi="Calibri Light" w:cs="Calibri Light"/>
          <w:noProof/>
          <w:sz w:val="20"/>
          <w:szCs w:val="20"/>
        </w:rPr>
        <w:t xml:space="preserve"> m</w:t>
      </w:r>
      <w:r w:rsidR="00E27C00">
        <w:rPr>
          <w:rFonts w:ascii="Calibri Light" w:hAnsi="Calibri Light" w:cs="Calibri Light"/>
          <w:noProof/>
          <w:sz w:val="20"/>
          <w:szCs w:val="20"/>
        </w:rPr>
        <w:t>onth</w:t>
      </w:r>
      <w:r w:rsidRPr="007A315D">
        <w:rPr>
          <w:rFonts w:ascii="Calibri Light" w:hAnsi="Calibri Light" w:cs="Calibri Light"/>
          <w:noProof/>
          <w:sz w:val="20"/>
          <w:szCs w:val="20"/>
        </w:rPr>
        <w:t>s</w:t>
      </w:r>
      <w:r>
        <w:rPr>
          <w:rFonts w:ascii="Calibri Light" w:hAnsi="Calibri Light" w:cs="Calibri Light"/>
          <w:noProof/>
          <w:sz w:val="20"/>
          <w:szCs w:val="20"/>
        </w:rPr>
        <w:t>.</w:t>
      </w:r>
    </w:p>
    <w:p w14:paraId="06E055C9" w14:textId="6F568E16" w:rsidR="00B46949" w:rsidRPr="000248C1" w:rsidRDefault="00E27C00" w:rsidP="000248C1">
      <w:pPr>
        <w:ind w:firstLine="708"/>
        <w:rPr>
          <w:rFonts w:ascii="Calibri Light" w:hAnsi="Calibri Light" w:cs="Calibri Light"/>
          <w:b/>
          <w:bCs/>
          <w:noProof/>
          <w:sz w:val="28"/>
          <w:szCs w:val="28"/>
        </w:rPr>
      </w:pPr>
      <w:r w:rsidRPr="00E27C00">
        <w:rPr>
          <w:rFonts w:ascii="Calibri Light" w:hAnsi="Calibri Light" w:cs="Calibri Light"/>
          <w:b/>
          <w:bCs/>
          <w:noProof/>
          <w:sz w:val="28"/>
          <w:szCs w:val="28"/>
        </w:rPr>
        <w:t>ORDINARY PROCEEDING</w:t>
      </w:r>
      <w:r w:rsidRPr="00E27C00">
        <w:rPr>
          <w:rFonts w:ascii="Calibri Light" w:hAnsi="Calibri Light" w:cs="Calibri Light"/>
          <w:b/>
          <w:bCs/>
          <w:noProof/>
          <w:sz w:val="28"/>
          <w:szCs w:val="28"/>
        </w:rPr>
        <w:tab/>
      </w:r>
      <w:r w:rsidR="000248C1" w:rsidRPr="000248C1">
        <w:rPr>
          <w:rFonts w:ascii="Calibri Light" w:hAnsi="Calibri Light" w:cs="Calibri Light"/>
          <w:b/>
          <w:bCs/>
          <w:noProof/>
          <w:sz w:val="28"/>
          <w:szCs w:val="28"/>
        </w:rPr>
        <w:tab/>
      </w:r>
      <w:r w:rsidR="000248C1" w:rsidRPr="000248C1">
        <w:rPr>
          <w:rFonts w:ascii="Calibri Light" w:hAnsi="Calibri Light" w:cs="Calibri Light"/>
          <w:b/>
          <w:bCs/>
          <w:noProof/>
          <w:sz w:val="28"/>
          <w:szCs w:val="28"/>
        </w:rPr>
        <w:tab/>
      </w:r>
      <w:r w:rsidR="000248C1" w:rsidRPr="000248C1">
        <w:rPr>
          <w:rFonts w:ascii="Calibri Light" w:hAnsi="Calibri Light" w:cs="Calibri Light"/>
          <w:b/>
          <w:bCs/>
          <w:noProof/>
          <w:sz w:val="28"/>
          <w:szCs w:val="28"/>
        </w:rPr>
        <w:tab/>
      </w:r>
      <w:r w:rsidR="00034980">
        <w:rPr>
          <w:rFonts w:ascii="Calibri Light" w:hAnsi="Calibri Light" w:cs="Calibri Light"/>
          <w:b/>
          <w:bCs/>
          <w:noProof/>
          <w:sz w:val="28"/>
          <w:szCs w:val="28"/>
        </w:rPr>
        <w:t xml:space="preserve">      </w:t>
      </w:r>
      <w:r w:rsidR="000248C1" w:rsidRPr="000248C1">
        <w:rPr>
          <w:rFonts w:ascii="Calibri Light" w:hAnsi="Calibri Light" w:cs="Calibri Light"/>
          <w:b/>
          <w:bCs/>
          <w:noProof/>
          <w:sz w:val="28"/>
          <w:szCs w:val="28"/>
        </w:rPr>
        <w:tab/>
      </w:r>
      <w:r w:rsidR="00A97C57">
        <w:rPr>
          <w:rFonts w:ascii="Calibri Light" w:hAnsi="Calibri Light" w:cs="Calibri Light"/>
          <w:b/>
          <w:bCs/>
          <w:noProof/>
          <w:sz w:val="28"/>
          <w:szCs w:val="28"/>
        </w:rPr>
        <w:t>SUMMARY</w:t>
      </w:r>
      <w:r w:rsidR="00034980">
        <w:rPr>
          <w:rFonts w:ascii="Calibri Light" w:hAnsi="Calibri Light" w:cs="Calibri Light"/>
          <w:b/>
          <w:bCs/>
          <w:noProof/>
          <w:sz w:val="28"/>
          <w:szCs w:val="28"/>
        </w:rPr>
        <w:t xml:space="preserve"> PROCEDURE</w:t>
      </w:r>
      <w:r w:rsidR="00FE201F">
        <w:rPr>
          <w:rStyle w:val="Refdenotaalpie"/>
          <w:rFonts w:ascii="Calibri Light" w:hAnsi="Calibri Light" w:cs="Calibri Light"/>
          <w:b/>
          <w:bCs/>
          <w:noProof/>
          <w:sz w:val="28"/>
          <w:szCs w:val="28"/>
        </w:rPr>
        <w:footnoteReference w:id="1"/>
      </w:r>
    </w:p>
    <w:p w14:paraId="43A9ED39" w14:textId="68F883B7" w:rsidR="00B46949" w:rsidRDefault="00FB5919" w:rsidP="000248C1">
      <w:pPr>
        <w:rPr>
          <w:noProof/>
        </w:rPr>
      </w:pPr>
      <w:r>
        <w:rPr>
          <w:noProof/>
        </w:rPr>
        <w:drawing>
          <wp:inline distT="0" distB="0" distL="0" distR="0" wp14:anchorId="2C551E45" wp14:editId="6F589DBC">
            <wp:extent cx="3342462" cy="2058670"/>
            <wp:effectExtent l="0" t="0" r="0" b="0"/>
            <wp:docPr id="477002143" name="Gráfico 1">
              <a:extLst xmlns:a="http://schemas.openxmlformats.org/drawingml/2006/main">
                <a:ext uri="{FF2B5EF4-FFF2-40B4-BE49-F238E27FC236}">
                  <a16:creationId xmlns:a16="http://schemas.microsoft.com/office/drawing/2014/main" id="{A2E7C65A-DFB7-5B9E-E078-CB2A39E746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14:anchorId="20E204BC" wp14:editId="1BBAFBBF">
            <wp:extent cx="3456305" cy="1872946"/>
            <wp:effectExtent l="0" t="0" r="0" b="0"/>
            <wp:docPr id="1462010841" name="Gráfico 1">
              <a:extLst xmlns:a="http://schemas.openxmlformats.org/drawingml/2006/main">
                <a:ext uri="{FF2B5EF4-FFF2-40B4-BE49-F238E27FC236}">
                  <a16:creationId xmlns:a16="http://schemas.microsoft.com/office/drawing/2014/main" id="{01C91CE7-4DF6-BD16-0969-7C3233ED1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874E90" w14:textId="2E547641" w:rsidR="00B46949" w:rsidRPr="00FE201F" w:rsidRDefault="00034980" w:rsidP="00FE201F">
      <w:pPr>
        <w:jc w:val="center"/>
        <w:rPr>
          <w:rFonts w:ascii="Calibri Light" w:hAnsi="Calibri Light" w:cs="Calibri Light"/>
          <w:noProof/>
          <w:sz w:val="18"/>
          <w:szCs w:val="18"/>
        </w:rPr>
      </w:pPr>
      <w:r w:rsidRPr="00034980">
        <w:rPr>
          <w:rFonts w:ascii="Calibri Light" w:hAnsi="Calibri Light" w:cs="Calibri Light"/>
          <w:noProof/>
          <w:sz w:val="18"/>
          <w:szCs w:val="18"/>
        </w:rPr>
        <w:t>As for the ordinary procedure, the arbitration phase has been shortened by one month compared to the previous year, and the phase before the arbitrator has also been reduced by just over a month. By contrast, in the summary procedure the pre-arbitration phase and the phase before the arbitrator have increased compared to 2024, which is partly due to the parties' delay in paying the administration fees</w:t>
      </w:r>
      <w:r w:rsidR="00134A14">
        <w:rPr>
          <w:rFonts w:ascii="Calibri Light" w:hAnsi="Calibri Light" w:cs="Calibri Light"/>
          <w:noProof/>
          <w:sz w:val="18"/>
          <w:szCs w:val="18"/>
        </w:rPr>
        <w:t>.</w:t>
      </w:r>
    </w:p>
    <w:p w14:paraId="08F9E38D" w14:textId="5BDC2021" w:rsidR="00AB4642" w:rsidRDefault="00AB4642" w:rsidP="002C5FFC">
      <w:pPr>
        <w:jc w:val="right"/>
        <w:rPr>
          <w:rFonts w:ascii="Calibri Light" w:hAnsi="Calibri Light" w:cs="Calibri Light"/>
          <w:sz w:val="18"/>
          <w:szCs w:val="18"/>
        </w:rPr>
      </w:pPr>
    </w:p>
    <w:p w14:paraId="04A5E3D5" w14:textId="79169CDF" w:rsidR="00134A14" w:rsidRDefault="00BF1FA4" w:rsidP="002C5FFC">
      <w:pPr>
        <w:jc w:val="right"/>
        <w:rPr>
          <w:rFonts w:ascii="Calibri Light" w:hAnsi="Calibri Light" w:cs="Calibri Light"/>
          <w:sz w:val="18"/>
          <w:szCs w:val="18"/>
        </w:rPr>
      </w:pPr>
      <w:r w:rsidRPr="00EF4AF2">
        <w:rPr>
          <w:noProof/>
        </w:rPr>
        <w:drawing>
          <wp:anchor distT="0" distB="0" distL="114300" distR="114300" simplePos="0" relativeHeight="251660288" behindDoc="0" locked="0" layoutInCell="1" allowOverlap="1" wp14:anchorId="54B82713" wp14:editId="738D2273">
            <wp:simplePos x="0" y="0"/>
            <wp:positionH relativeFrom="margin">
              <wp:align>right</wp:align>
            </wp:positionH>
            <wp:positionV relativeFrom="paragraph">
              <wp:posOffset>30480</wp:posOffset>
            </wp:positionV>
            <wp:extent cx="3079750" cy="2340610"/>
            <wp:effectExtent l="0" t="0" r="6350" b="2540"/>
            <wp:wrapSquare wrapText="bothSides"/>
            <wp:docPr id="2049595587" name="Gráfico 1">
              <a:extLst xmlns:a="http://schemas.openxmlformats.org/drawingml/2006/main">
                <a:ext uri="{FF2B5EF4-FFF2-40B4-BE49-F238E27FC236}">
                  <a16:creationId xmlns:a16="http://schemas.microsoft.com/office/drawing/2014/main" id="{17EE6196-6DFA-ECF9-131D-CF772566F0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5FFC22FC" w14:textId="560E2E64" w:rsidR="00AB4642" w:rsidRDefault="00AB4642" w:rsidP="00AB4642">
      <w:pPr>
        <w:tabs>
          <w:tab w:val="right" w:pos="5882"/>
        </w:tabs>
        <w:jc w:val="center"/>
        <w:rPr>
          <w:rFonts w:ascii="Calibri Light" w:hAnsi="Calibri Light" w:cs="Calibri Light"/>
          <w:sz w:val="18"/>
          <w:szCs w:val="18"/>
        </w:rPr>
      </w:pPr>
    </w:p>
    <w:p w14:paraId="34F10EA6" w14:textId="4D31199E" w:rsidR="00583A68" w:rsidRPr="000F2A0E" w:rsidRDefault="00034980" w:rsidP="00034980">
      <w:pPr>
        <w:jc w:val="center"/>
        <w:rPr>
          <w:lang w:val="en-GB"/>
        </w:rPr>
      </w:pPr>
      <w:r w:rsidRPr="000F2A0E">
        <w:rPr>
          <w:rFonts w:ascii="Calibri Light" w:hAnsi="Calibri Light" w:cs="Calibri Light"/>
          <w:sz w:val="18"/>
          <w:szCs w:val="18"/>
          <w:lang w:val="en-GB"/>
        </w:rPr>
        <w:t>The preference for law-based arbitration over equity arbitration remains, although there has been a 4% increase in equity arbitration compared to the previous year. This increase corresponds to the entry of arbitrations relating to parasocial agreements within the context of family businesses that include equity arbitration in the arbitration agreement.</w:t>
      </w:r>
    </w:p>
    <w:p w14:paraId="4193656F" w14:textId="77777777" w:rsidR="003243AD" w:rsidRDefault="003243AD" w:rsidP="003243AD"/>
    <w:p w14:paraId="7DD2DD8E" w14:textId="3BF35B19" w:rsidR="003243AD" w:rsidRDefault="003243AD" w:rsidP="003243AD"/>
    <w:p w14:paraId="25C9B49E" w14:textId="6088430C" w:rsidR="00923397" w:rsidRDefault="00923397" w:rsidP="00AB4642">
      <w:pPr>
        <w:jc w:val="center"/>
      </w:pPr>
    </w:p>
    <w:p w14:paraId="12AF04EA" w14:textId="77777777" w:rsidR="00B6506C" w:rsidRDefault="00B6506C" w:rsidP="00AB4642">
      <w:pPr>
        <w:jc w:val="center"/>
      </w:pPr>
    </w:p>
    <w:p w14:paraId="7020FB0F" w14:textId="693ADFF7" w:rsidR="00583A68" w:rsidRPr="00EF4AF2" w:rsidRDefault="002C5FFC" w:rsidP="00AB4642">
      <w:pPr>
        <w:jc w:val="center"/>
      </w:pPr>
      <w:r w:rsidRPr="00EF4AF2">
        <w:rPr>
          <w:noProof/>
        </w:rPr>
        <w:drawing>
          <wp:anchor distT="0" distB="0" distL="114300" distR="114300" simplePos="0" relativeHeight="251661312" behindDoc="1" locked="0" layoutInCell="1" allowOverlap="1" wp14:anchorId="2ACA845C" wp14:editId="553F6896">
            <wp:simplePos x="0" y="0"/>
            <wp:positionH relativeFrom="margin">
              <wp:align>left</wp:align>
            </wp:positionH>
            <wp:positionV relativeFrom="paragraph">
              <wp:posOffset>12700</wp:posOffset>
            </wp:positionV>
            <wp:extent cx="3343275" cy="2924175"/>
            <wp:effectExtent l="0" t="0" r="0" b="0"/>
            <wp:wrapTight wrapText="bothSides">
              <wp:wrapPolygon edited="0">
                <wp:start x="0" y="0"/>
                <wp:lineTo x="0" y="21389"/>
                <wp:lineTo x="21415" y="21389"/>
                <wp:lineTo x="21415" y="0"/>
                <wp:lineTo x="0" y="0"/>
              </wp:wrapPolygon>
            </wp:wrapTight>
            <wp:docPr id="1082265571" name="Gráfico 1">
              <a:extLst xmlns:a="http://schemas.openxmlformats.org/drawingml/2006/main">
                <a:ext uri="{FF2B5EF4-FFF2-40B4-BE49-F238E27FC236}">
                  <a16:creationId xmlns:a16="http://schemas.microsoft.com/office/drawing/2014/main" id="{4297F083-C507-B929-274A-61DE0BC18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4179B4C" w14:textId="77777777" w:rsidR="00923397" w:rsidRDefault="00923397" w:rsidP="00AB4642">
      <w:pPr>
        <w:jc w:val="center"/>
        <w:rPr>
          <w:rFonts w:ascii="Calibri Light" w:hAnsi="Calibri Light" w:cs="Calibri Light"/>
          <w:sz w:val="18"/>
          <w:szCs w:val="18"/>
        </w:rPr>
      </w:pPr>
    </w:p>
    <w:p w14:paraId="1702D1A8" w14:textId="77777777" w:rsidR="00923397" w:rsidRDefault="00923397" w:rsidP="00AB4642">
      <w:pPr>
        <w:jc w:val="center"/>
        <w:rPr>
          <w:rFonts w:ascii="Calibri Light" w:hAnsi="Calibri Light" w:cs="Calibri Light"/>
          <w:sz w:val="18"/>
          <w:szCs w:val="18"/>
        </w:rPr>
      </w:pPr>
    </w:p>
    <w:p w14:paraId="5121C57B" w14:textId="71DA7818" w:rsidR="00034980" w:rsidRPr="000F2A0E" w:rsidRDefault="00034980" w:rsidP="00034980">
      <w:pPr>
        <w:jc w:val="center"/>
        <w:rPr>
          <w:rFonts w:ascii="Calibri Light" w:hAnsi="Calibri Light" w:cs="Calibri Light"/>
          <w:sz w:val="18"/>
          <w:szCs w:val="18"/>
          <w:lang w:val="en-GB"/>
        </w:rPr>
      </w:pPr>
      <w:r w:rsidRPr="000F2A0E">
        <w:rPr>
          <w:rFonts w:ascii="Calibri Light" w:hAnsi="Calibri Light" w:cs="Calibri Light"/>
          <w:sz w:val="18"/>
          <w:szCs w:val="18"/>
          <w:lang w:val="en-GB"/>
        </w:rPr>
        <w:t xml:space="preserve">At this point, it should be highlighted that English-language arbitrations, which did not occur last year, accounted for 3%, with English being chosen by the parties </w:t>
      </w:r>
      <w:r w:rsidR="000F2A0E" w:rsidRPr="000F2A0E">
        <w:rPr>
          <w:rFonts w:ascii="Calibri Light" w:hAnsi="Calibri Light" w:cs="Calibri Light"/>
          <w:sz w:val="18"/>
          <w:szCs w:val="18"/>
          <w:lang w:val="en-GB"/>
        </w:rPr>
        <w:t>alongside</w:t>
      </w:r>
      <w:r w:rsidRPr="000F2A0E">
        <w:rPr>
          <w:rFonts w:ascii="Calibri Light" w:hAnsi="Calibri Light" w:cs="Calibri Light"/>
          <w:sz w:val="18"/>
          <w:szCs w:val="18"/>
          <w:lang w:val="en-GB"/>
        </w:rPr>
        <w:t xml:space="preserve"> Spanish. </w:t>
      </w:r>
    </w:p>
    <w:p w14:paraId="6F1A8977" w14:textId="1BF54D49" w:rsidR="00C86EF4" w:rsidRPr="000F2A0E" w:rsidRDefault="00034980" w:rsidP="00034980">
      <w:pPr>
        <w:jc w:val="center"/>
        <w:rPr>
          <w:rFonts w:ascii="Calibri Light" w:hAnsi="Calibri Light" w:cs="Calibri Light"/>
          <w:sz w:val="18"/>
          <w:szCs w:val="18"/>
          <w:lang w:val="en-GB"/>
        </w:rPr>
      </w:pPr>
      <w:r w:rsidRPr="000F2A0E">
        <w:rPr>
          <w:rFonts w:ascii="Calibri Light" w:hAnsi="Calibri Light" w:cs="Calibri Light"/>
          <w:sz w:val="18"/>
          <w:szCs w:val="18"/>
          <w:lang w:val="en-GB"/>
        </w:rPr>
        <w:t>On the other hand, the trend of Spanish predominance continues.</w:t>
      </w:r>
    </w:p>
    <w:p w14:paraId="0F826D2F" w14:textId="77777777" w:rsidR="00C86EF4" w:rsidRDefault="00C86EF4" w:rsidP="00AB4642">
      <w:pPr>
        <w:jc w:val="center"/>
        <w:rPr>
          <w:rFonts w:ascii="Calibri Light" w:hAnsi="Calibri Light" w:cs="Calibri Light"/>
          <w:sz w:val="18"/>
          <w:szCs w:val="18"/>
        </w:rPr>
      </w:pPr>
    </w:p>
    <w:p w14:paraId="2D790A55" w14:textId="77777777" w:rsidR="00C86EF4" w:rsidRDefault="00C86EF4" w:rsidP="00AB4642">
      <w:pPr>
        <w:jc w:val="center"/>
        <w:rPr>
          <w:rFonts w:ascii="Calibri Light" w:hAnsi="Calibri Light" w:cs="Calibri Light"/>
          <w:sz w:val="18"/>
          <w:szCs w:val="18"/>
        </w:rPr>
      </w:pPr>
    </w:p>
    <w:p w14:paraId="42F5411D" w14:textId="77777777" w:rsidR="00C86EF4" w:rsidRDefault="00C86EF4" w:rsidP="00AB4642">
      <w:pPr>
        <w:jc w:val="center"/>
        <w:rPr>
          <w:rFonts w:ascii="Calibri Light" w:hAnsi="Calibri Light" w:cs="Calibri Light"/>
          <w:sz w:val="18"/>
          <w:szCs w:val="18"/>
        </w:rPr>
      </w:pPr>
    </w:p>
    <w:p w14:paraId="59B1A0D3" w14:textId="4BC6725C" w:rsidR="00C86EF4" w:rsidRDefault="00C86EF4" w:rsidP="00D92200">
      <w:pPr>
        <w:jc w:val="right"/>
      </w:pPr>
    </w:p>
    <w:p w14:paraId="66C68721" w14:textId="77777777" w:rsidR="00B6506C" w:rsidRDefault="00B6506C" w:rsidP="00D92200">
      <w:pPr>
        <w:jc w:val="right"/>
      </w:pPr>
    </w:p>
    <w:p w14:paraId="5F077C9B" w14:textId="4A2E2176" w:rsidR="00583A68" w:rsidRPr="00EF4AF2" w:rsidRDefault="002C5FFC" w:rsidP="00D92200">
      <w:pPr>
        <w:jc w:val="right"/>
      </w:pPr>
      <w:r w:rsidRPr="00EF4AF2">
        <w:rPr>
          <w:noProof/>
        </w:rPr>
        <w:drawing>
          <wp:anchor distT="0" distB="0" distL="114300" distR="114300" simplePos="0" relativeHeight="251662336" behindDoc="1" locked="0" layoutInCell="1" allowOverlap="1" wp14:anchorId="2C4A0BAB" wp14:editId="67FCF629">
            <wp:simplePos x="0" y="0"/>
            <wp:positionH relativeFrom="column">
              <wp:posOffset>3269615</wp:posOffset>
            </wp:positionH>
            <wp:positionV relativeFrom="paragraph">
              <wp:posOffset>295275</wp:posOffset>
            </wp:positionV>
            <wp:extent cx="3610970" cy="2721449"/>
            <wp:effectExtent l="0" t="0" r="8890" b="3175"/>
            <wp:wrapTight wrapText="bothSides">
              <wp:wrapPolygon edited="0">
                <wp:start x="0" y="0"/>
                <wp:lineTo x="0" y="21474"/>
                <wp:lineTo x="21539" y="21474"/>
                <wp:lineTo x="21539" y="0"/>
                <wp:lineTo x="0" y="0"/>
              </wp:wrapPolygon>
            </wp:wrapTight>
            <wp:docPr id="2059728588" name="Gráfico 1">
              <a:extLst xmlns:a="http://schemas.openxmlformats.org/drawingml/2006/main">
                <a:ext uri="{FF2B5EF4-FFF2-40B4-BE49-F238E27FC236}">
                  <a16:creationId xmlns:a16="http://schemas.microsoft.com/office/drawing/2014/main" id="{00680562-7475-2ABC-7085-320F39FCA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5EA27481" w14:textId="77777777" w:rsidR="000F4529" w:rsidRDefault="000F4529" w:rsidP="000F4529">
      <w:pPr>
        <w:jc w:val="center"/>
        <w:rPr>
          <w:rFonts w:ascii="Calibri Light" w:hAnsi="Calibri Light" w:cs="Calibri Light"/>
          <w:sz w:val="18"/>
          <w:szCs w:val="18"/>
        </w:rPr>
      </w:pPr>
    </w:p>
    <w:p w14:paraId="067BADF4" w14:textId="77777777" w:rsidR="000F4529" w:rsidRDefault="000F4529" w:rsidP="000F4529">
      <w:pPr>
        <w:jc w:val="center"/>
        <w:rPr>
          <w:rFonts w:ascii="Calibri Light" w:hAnsi="Calibri Light" w:cs="Calibri Light"/>
          <w:sz w:val="18"/>
          <w:szCs w:val="18"/>
        </w:rPr>
      </w:pPr>
    </w:p>
    <w:p w14:paraId="4558B445" w14:textId="77777777" w:rsidR="000F4529" w:rsidRDefault="000F4529" w:rsidP="000F4529">
      <w:pPr>
        <w:jc w:val="center"/>
        <w:rPr>
          <w:rFonts w:ascii="Calibri Light" w:hAnsi="Calibri Light" w:cs="Calibri Light"/>
          <w:sz w:val="18"/>
          <w:szCs w:val="18"/>
        </w:rPr>
      </w:pPr>
    </w:p>
    <w:p w14:paraId="2D5C725F" w14:textId="62B7B1B7" w:rsidR="00C86EF4" w:rsidRPr="000F2A0E" w:rsidRDefault="00034980" w:rsidP="00034980">
      <w:pPr>
        <w:jc w:val="center"/>
        <w:rPr>
          <w:rFonts w:ascii="Calibri Light" w:hAnsi="Calibri Light" w:cs="Calibri Light"/>
          <w:sz w:val="18"/>
          <w:szCs w:val="18"/>
          <w:lang w:val="en-GB"/>
        </w:rPr>
      </w:pPr>
      <w:r w:rsidRPr="000F2A0E">
        <w:rPr>
          <w:rFonts w:ascii="Calibri Light" w:hAnsi="Calibri Light" w:cs="Calibri Light"/>
          <w:sz w:val="18"/>
          <w:szCs w:val="18"/>
          <w:lang w:val="en-GB"/>
        </w:rPr>
        <w:t>We highlight the 5% increase in arbitrations awarded by women compared to last year's 9%, although this progress still falls far short of parity with men.</w:t>
      </w:r>
    </w:p>
    <w:p w14:paraId="62542CA1" w14:textId="77777777" w:rsidR="00C86EF4" w:rsidRDefault="00C86EF4" w:rsidP="00C86EF4">
      <w:pPr>
        <w:rPr>
          <w:rFonts w:ascii="Calibri Light" w:hAnsi="Calibri Light" w:cs="Calibri Light"/>
          <w:sz w:val="18"/>
          <w:szCs w:val="18"/>
        </w:rPr>
      </w:pPr>
    </w:p>
    <w:p w14:paraId="21EEBDEA" w14:textId="77777777" w:rsidR="00C86EF4" w:rsidRDefault="00C86EF4" w:rsidP="00C86EF4">
      <w:pPr>
        <w:rPr>
          <w:rFonts w:ascii="Calibri Light" w:hAnsi="Calibri Light" w:cs="Calibri Light"/>
          <w:sz w:val="18"/>
          <w:szCs w:val="18"/>
        </w:rPr>
      </w:pPr>
    </w:p>
    <w:p w14:paraId="7579F343" w14:textId="77777777" w:rsidR="00C86EF4" w:rsidRDefault="00C86EF4" w:rsidP="00C86EF4">
      <w:pPr>
        <w:rPr>
          <w:rFonts w:ascii="Calibri Light" w:hAnsi="Calibri Light" w:cs="Calibri Light"/>
          <w:sz w:val="18"/>
          <w:szCs w:val="18"/>
        </w:rPr>
      </w:pPr>
    </w:p>
    <w:p w14:paraId="7048717C" w14:textId="3F90DC41" w:rsidR="00C86EF4" w:rsidRDefault="00C86EF4" w:rsidP="00C86EF4">
      <w:pPr>
        <w:rPr>
          <w:rFonts w:ascii="Calibri Light" w:hAnsi="Calibri Light" w:cs="Calibri Light"/>
          <w:sz w:val="18"/>
          <w:szCs w:val="18"/>
        </w:rPr>
      </w:pPr>
      <w:r w:rsidRPr="00EF4AF2">
        <w:rPr>
          <w:noProof/>
        </w:rPr>
        <w:lastRenderedPageBreak/>
        <w:drawing>
          <wp:anchor distT="0" distB="0" distL="114300" distR="114300" simplePos="0" relativeHeight="251663360" behindDoc="1" locked="0" layoutInCell="1" allowOverlap="1" wp14:anchorId="68608BD1" wp14:editId="32BFB7DB">
            <wp:simplePos x="0" y="0"/>
            <wp:positionH relativeFrom="margin">
              <wp:align>left</wp:align>
            </wp:positionH>
            <wp:positionV relativeFrom="paragraph">
              <wp:posOffset>85781</wp:posOffset>
            </wp:positionV>
            <wp:extent cx="3214047" cy="2784143"/>
            <wp:effectExtent l="0" t="0" r="5715" b="0"/>
            <wp:wrapTight wrapText="bothSides">
              <wp:wrapPolygon edited="0">
                <wp:start x="0" y="0"/>
                <wp:lineTo x="0" y="21432"/>
                <wp:lineTo x="21510" y="21432"/>
                <wp:lineTo x="21510" y="0"/>
                <wp:lineTo x="0" y="0"/>
              </wp:wrapPolygon>
            </wp:wrapTight>
            <wp:docPr id="913770861" name="Gráfico 1">
              <a:extLst xmlns:a="http://schemas.openxmlformats.org/drawingml/2006/main">
                <a:ext uri="{FF2B5EF4-FFF2-40B4-BE49-F238E27FC236}">
                  <a16:creationId xmlns:a16="http://schemas.microsoft.com/office/drawing/2014/main" id="{575D5661-61DC-9E49-4330-BA27060A2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16A27E1B" w14:textId="77777777" w:rsidR="00C86EF4" w:rsidRDefault="00C86EF4" w:rsidP="00C86EF4">
      <w:pPr>
        <w:rPr>
          <w:rFonts w:ascii="Calibri Light" w:hAnsi="Calibri Light" w:cs="Calibri Light"/>
          <w:sz w:val="18"/>
          <w:szCs w:val="18"/>
        </w:rPr>
      </w:pPr>
    </w:p>
    <w:p w14:paraId="399EC361" w14:textId="77777777" w:rsidR="00C86EF4" w:rsidRDefault="00C86EF4" w:rsidP="00C86EF4">
      <w:pPr>
        <w:rPr>
          <w:rFonts w:ascii="Calibri Light" w:hAnsi="Calibri Light" w:cs="Calibri Light"/>
          <w:sz w:val="18"/>
          <w:szCs w:val="18"/>
        </w:rPr>
      </w:pPr>
    </w:p>
    <w:p w14:paraId="72F73E18" w14:textId="77777777" w:rsidR="00C86EF4" w:rsidRDefault="00C86EF4" w:rsidP="00C86EF4">
      <w:pPr>
        <w:rPr>
          <w:rFonts w:ascii="Calibri Light" w:hAnsi="Calibri Light" w:cs="Calibri Light"/>
          <w:sz w:val="18"/>
          <w:szCs w:val="18"/>
        </w:rPr>
      </w:pPr>
    </w:p>
    <w:p w14:paraId="29FFC041" w14:textId="03FFA3C7" w:rsidR="00C86EF4" w:rsidRPr="000F2A0E" w:rsidRDefault="00034980" w:rsidP="00C86EF4">
      <w:pPr>
        <w:jc w:val="center"/>
        <w:rPr>
          <w:rFonts w:ascii="Calibri Light" w:hAnsi="Calibri Light" w:cs="Calibri Light"/>
          <w:sz w:val="18"/>
          <w:szCs w:val="18"/>
          <w:lang w:val="en-GB"/>
        </w:rPr>
      </w:pPr>
      <w:r w:rsidRPr="000F2A0E">
        <w:rPr>
          <w:rFonts w:ascii="Calibri Light" w:hAnsi="Calibri Light" w:cs="Calibri Light"/>
          <w:sz w:val="18"/>
          <w:szCs w:val="18"/>
          <w:lang w:val="en-GB"/>
        </w:rPr>
        <w:t>Domestic arbitration continues to dominate international arbitration, although there has been a 21% increase in international arbitration compared to the previous year.</w:t>
      </w:r>
    </w:p>
    <w:p w14:paraId="565F196B" w14:textId="77777777" w:rsidR="00C86EF4" w:rsidRDefault="00C86EF4" w:rsidP="00C86EF4">
      <w:pPr>
        <w:rPr>
          <w:rFonts w:ascii="Calibri Light" w:hAnsi="Calibri Light" w:cs="Calibri Light"/>
          <w:sz w:val="18"/>
          <w:szCs w:val="18"/>
        </w:rPr>
      </w:pPr>
    </w:p>
    <w:p w14:paraId="6A26E03D" w14:textId="77777777" w:rsidR="00C86EF4" w:rsidRDefault="00C86EF4" w:rsidP="00C86EF4">
      <w:pPr>
        <w:rPr>
          <w:rFonts w:ascii="Calibri Light" w:hAnsi="Calibri Light" w:cs="Calibri Light"/>
          <w:sz w:val="18"/>
          <w:szCs w:val="18"/>
        </w:rPr>
      </w:pPr>
    </w:p>
    <w:p w14:paraId="628FAD11" w14:textId="77777777" w:rsidR="00C86EF4" w:rsidRDefault="00C86EF4" w:rsidP="00C86EF4">
      <w:pPr>
        <w:rPr>
          <w:rFonts w:ascii="Calibri Light" w:hAnsi="Calibri Light" w:cs="Calibri Light"/>
          <w:sz w:val="18"/>
          <w:szCs w:val="18"/>
        </w:rPr>
      </w:pPr>
    </w:p>
    <w:p w14:paraId="4259C23A" w14:textId="77777777" w:rsidR="00C86EF4" w:rsidRDefault="00C86EF4" w:rsidP="00C86EF4">
      <w:pPr>
        <w:rPr>
          <w:rFonts w:ascii="Calibri Light" w:hAnsi="Calibri Light" w:cs="Calibri Light"/>
          <w:sz w:val="18"/>
          <w:szCs w:val="18"/>
        </w:rPr>
      </w:pPr>
    </w:p>
    <w:p w14:paraId="2B26C560" w14:textId="0071C250" w:rsidR="00B860AA" w:rsidRDefault="00B860AA" w:rsidP="00C86EF4">
      <w:pPr>
        <w:jc w:val="right"/>
        <w:rPr>
          <w:rFonts w:ascii="Calibri Light" w:hAnsi="Calibri Light" w:cs="Calibri Light"/>
          <w:sz w:val="18"/>
          <w:szCs w:val="18"/>
        </w:rPr>
      </w:pPr>
    </w:p>
    <w:p w14:paraId="2C48D895" w14:textId="268E735D" w:rsidR="00B860AA" w:rsidRDefault="00B860AA" w:rsidP="00C86EF4">
      <w:pPr>
        <w:jc w:val="right"/>
        <w:rPr>
          <w:rFonts w:ascii="Calibri Light" w:hAnsi="Calibri Light" w:cs="Calibri Light"/>
          <w:sz w:val="18"/>
          <w:szCs w:val="18"/>
        </w:rPr>
      </w:pPr>
    </w:p>
    <w:p w14:paraId="4DED91EF" w14:textId="740DC31C" w:rsidR="00C86EF4" w:rsidRPr="00C86EF4" w:rsidRDefault="00B6506C" w:rsidP="00B6506C">
      <w:pPr>
        <w:jc w:val="right"/>
        <w:rPr>
          <w:rFonts w:ascii="Calibri Light" w:hAnsi="Calibri Light" w:cs="Calibri Light"/>
          <w:sz w:val="18"/>
          <w:szCs w:val="18"/>
        </w:rPr>
      </w:pPr>
      <w:r>
        <w:rPr>
          <w:noProof/>
        </w:rPr>
        <w:drawing>
          <wp:anchor distT="0" distB="0" distL="114300" distR="114300" simplePos="0" relativeHeight="251664384" behindDoc="1" locked="0" layoutInCell="1" allowOverlap="1" wp14:anchorId="4F0301CE" wp14:editId="538A6C04">
            <wp:simplePos x="0" y="0"/>
            <wp:positionH relativeFrom="margin">
              <wp:posOffset>2839720</wp:posOffset>
            </wp:positionH>
            <wp:positionV relativeFrom="paragraph">
              <wp:posOffset>5715</wp:posOffset>
            </wp:positionV>
            <wp:extent cx="4181475" cy="3133725"/>
            <wp:effectExtent l="0" t="0" r="0" b="0"/>
            <wp:wrapTight wrapText="bothSides">
              <wp:wrapPolygon edited="0">
                <wp:start x="0" y="0"/>
                <wp:lineTo x="0" y="21403"/>
                <wp:lineTo x="21452" y="21403"/>
                <wp:lineTo x="21452" y="0"/>
                <wp:lineTo x="0" y="0"/>
              </wp:wrapPolygon>
            </wp:wrapTight>
            <wp:docPr id="661694397" name="Gráfico 1">
              <a:extLst xmlns:a="http://schemas.openxmlformats.org/drawingml/2006/main">
                <a:ext uri="{FF2B5EF4-FFF2-40B4-BE49-F238E27FC236}">
                  <a16:creationId xmlns:a16="http://schemas.microsoft.com/office/drawing/2014/main" id="{F8788632-868E-026D-75E2-633D10484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3536CDC5" w14:textId="77777777" w:rsidR="00B6506C" w:rsidRDefault="00B6506C" w:rsidP="00B860AA">
      <w:pPr>
        <w:jc w:val="center"/>
        <w:rPr>
          <w:rFonts w:ascii="Calibri Light" w:hAnsi="Calibri Light" w:cs="Calibri Light"/>
          <w:sz w:val="18"/>
          <w:szCs w:val="18"/>
        </w:rPr>
      </w:pPr>
    </w:p>
    <w:p w14:paraId="7162DD53" w14:textId="77777777" w:rsidR="00B6506C" w:rsidRDefault="00B6506C" w:rsidP="00B860AA">
      <w:pPr>
        <w:jc w:val="center"/>
        <w:rPr>
          <w:rFonts w:ascii="Calibri Light" w:hAnsi="Calibri Light" w:cs="Calibri Light"/>
          <w:sz w:val="18"/>
          <w:szCs w:val="18"/>
        </w:rPr>
      </w:pPr>
    </w:p>
    <w:p w14:paraId="7605F90D" w14:textId="3FD5555A" w:rsidR="00C86EF4" w:rsidRPr="000F2A0E" w:rsidRDefault="00034980" w:rsidP="00034980">
      <w:pPr>
        <w:jc w:val="center"/>
        <w:rPr>
          <w:rFonts w:ascii="Calibri Light" w:hAnsi="Calibri Light" w:cs="Calibri Light"/>
          <w:sz w:val="18"/>
          <w:szCs w:val="18"/>
          <w:lang w:val="en-GB"/>
        </w:rPr>
      </w:pPr>
      <w:r w:rsidRPr="000F2A0E">
        <w:rPr>
          <w:rFonts w:ascii="Calibri Light" w:hAnsi="Calibri Light" w:cs="Calibri Light"/>
          <w:sz w:val="18"/>
          <w:szCs w:val="18"/>
          <w:lang w:val="en-GB"/>
        </w:rPr>
        <w:t xml:space="preserve">While the trend of voluntary compliance with awards continues, this year's percentage is lower than last year's. The same trend </w:t>
      </w:r>
      <w:r w:rsidR="000F2A0E" w:rsidRPr="000F2A0E">
        <w:rPr>
          <w:rFonts w:ascii="Calibri Light" w:hAnsi="Calibri Light" w:cs="Calibri Light"/>
          <w:sz w:val="18"/>
          <w:szCs w:val="18"/>
          <w:lang w:val="en-GB"/>
        </w:rPr>
        <w:t xml:space="preserve">applies to </w:t>
      </w:r>
      <w:r w:rsidRPr="000F2A0E">
        <w:rPr>
          <w:rFonts w:ascii="Calibri Light" w:hAnsi="Calibri Light" w:cs="Calibri Light"/>
          <w:sz w:val="18"/>
          <w:szCs w:val="18"/>
          <w:lang w:val="en-GB"/>
        </w:rPr>
        <w:t xml:space="preserve">awards enforced by the courts and those challenged before the </w:t>
      </w:r>
      <w:r w:rsidR="000F2A0E" w:rsidRPr="000F2A0E">
        <w:rPr>
          <w:rFonts w:ascii="Calibri Light" w:hAnsi="Calibri Light" w:cs="Calibri Light"/>
          <w:sz w:val="18"/>
          <w:szCs w:val="18"/>
          <w:lang w:val="en-GB"/>
        </w:rPr>
        <w:t>TSJ of</w:t>
      </w:r>
      <w:r w:rsidRPr="000F2A0E">
        <w:rPr>
          <w:rFonts w:ascii="Calibri Light" w:hAnsi="Calibri Light" w:cs="Calibri Light"/>
          <w:sz w:val="18"/>
          <w:szCs w:val="18"/>
          <w:lang w:val="en-GB"/>
        </w:rPr>
        <w:t xml:space="preserve"> Catalonia</w:t>
      </w:r>
      <w:r w:rsidR="00B860AA" w:rsidRPr="000F2A0E">
        <w:rPr>
          <w:rFonts w:ascii="Calibri Light" w:hAnsi="Calibri Light" w:cs="Calibri Light"/>
          <w:sz w:val="18"/>
          <w:szCs w:val="18"/>
          <w:lang w:val="en-GB"/>
        </w:rPr>
        <w:t>.</w:t>
      </w:r>
    </w:p>
    <w:p w14:paraId="10626E33" w14:textId="77777777" w:rsidR="00C86EF4" w:rsidRDefault="00C86EF4" w:rsidP="00C86EF4">
      <w:pPr>
        <w:jc w:val="right"/>
        <w:rPr>
          <w:rFonts w:ascii="Calibri Light" w:hAnsi="Calibri Light" w:cs="Calibri Light"/>
          <w:sz w:val="18"/>
          <w:szCs w:val="18"/>
        </w:rPr>
      </w:pPr>
    </w:p>
    <w:p w14:paraId="116F68FF" w14:textId="77777777" w:rsidR="00C86EF4" w:rsidRDefault="00C86EF4" w:rsidP="00C86EF4">
      <w:pPr>
        <w:jc w:val="right"/>
        <w:rPr>
          <w:rFonts w:ascii="Calibri Light" w:hAnsi="Calibri Light" w:cs="Calibri Light"/>
          <w:sz w:val="18"/>
          <w:szCs w:val="18"/>
        </w:rPr>
      </w:pPr>
    </w:p>
    <w:p w14:paraId="1264C188" w14:textId="77777777" w:rsidR="00C86EF4" w:rsidRDefault="00C86EF4" w:rsidP="00C86EF4">
      <w:pPr>
        <w:jc w:val="right"/>
        <w:rPr>
          <w:rFonts w:ascii="Calibri Light" w:hAnsi="Calibri Light" w:cs="Calibri Light"/>
          <w:sz w:val="18"/>
          <w:szCs w:val="18"/>
        </w:rPr>
      </w:pPr>
    </w:p>
    <w:p w14:paraId="3213F927" w14:textId="77777777" w:rsidR="00C86EF4" w:rsidRPr="00C86EF4" w:rsidRDefault="00C86EF4" w:rsidP="00C86EF4">
      <w:pPr>
        <w:jc w:val="right"/>
        <w:rPr>
          <w:rFonts w:ascii="Calibri Light" w:hAnsi="Calibri Light" w:cs="Calibri Light"/>
          <w:sz w:val="18"/>
          <w:szCs w:val="18"/>
        </w:rPr>
      </w:pPr>
    </w:p>
    <w:p w14:paraId="542B46AA" w14:textId="77777777" w:rsidR="00C86EF4" w:rsidRPr="00EF4AF2" w:rsidRDefault="00C86EF4" w:rsidP="00C86EF4">
      <w:pPr>
        <w:jc w:val="right"/>
      </w:pPr>
    </w:p>
    <w:sectPr w:rsidR="00C86EF4" w:rsidRPr="00EF4AF2" w:rsidSect="00E02394">
      <w:headerReference w:type="default" r:id="rId23"/>
      <w:footerReference w:type="default" r:id="rId24"/>
      <w:headerReference w:type="first" r:id="rId25"/>
      <w:footerReference w:type="first" r:id="rId26"/>
      <w:pgSz w:w="11906" w:h="16838"/>
      <w:pgMar w:top="851" w:right="567" w:bottom="567" w:left="567"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CEE27" w14:textId="77777777" w:rsidR="00D52094" w:rsidRDefault="00D52094" w:rsidP="009D2E70">
      <w:pPr>
        <w:spacing w:after="0" w:line="240" w:lineRule="auto"/>
      </w:pPr>
      <w:r>
        <w:separator/>
      </w:r>
    </w:p>
  </w:endnote>
  <w:endnote w:type="continuationSeparator" w:id="0">
    <w:p w14:paraId="31F0BD1B" w14:textId="77777777" w:rsidR="00D52094" w:rsidRDefault="00D52094" w:rsidP="009D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U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79901"/>
      <w:docPartObj>
        <w:docPartGallery w:val="Page Numbers (Bottom of Page)"/>
        <w:docPartUnique/>
      </w:docPartObj>
    </w:sdtPr>
    <w:sdtEndPr/>
    <w:sdtContent>
      <w:p w14:paraId="25D553CF" w14:textId="1CB5074C" w:rsidR="00042D11" w:rsidRPr="00042D11" w:rsidRDefault="00042D11" w:rsidP="00042D11">
        <w:pPr>
          <w:autoSpaceDE w:val="0"/>
          <w:autoSpaceDN w:val="0"/>
          <w:adjustRightInd w:val="0"/>
          <w:spacing w:after="0" w:line="240" w:lineRule="auto"/>
          <w:jc w:val="center"/>
          <w:rPr>
            <w:rFonts w:ascii="Calibri" w:eastAsia="Calibri" w:hAnsi="Calibri" w:cs="Arial"/>
            <w:sz w:val="12"/>
            <w:szCs w:val="12"/>
          </w:rPr>
        </w:pPr>
      </w:p>
      <w:p w14:paraId="6CD4C72D" w14:textId="03FD02E5" w:rsidR="009D2E70" w:rsidRDefault="009D2E70">
        <w:pPr>
          <w:pStyle w:val="Piedepgina"/>
          <w:jc w:val="right"/>
        </w:pPr>
        <w:r>
          <w:fldChar w:fldCharType="begin"/>
        </w:r>
        <w:r>
          <w:instrText>PAGE   \* MERGEFORMAT</w:instrText>
        </w:r>
        <w:r>
          <w:fldChar w:fldCharType="separate"/>
        </w:r>
        <w:r>
          <w:rPr>
            <w:lang w:val="es-ES"/>
          </w:rPr>
          <w:t>2</w:t>
        </w:r>
        <w:r>
          <w:fldChar w:fldCharType="end"/>
        </w:r>
      </w:p>
    </w:sdtContent>
  </w:sdt>
  <w:p w14:paraId="681C70C0" w14:textId="77777777" w:rsidR="009D2E70" w:rsidRDefault="009D2E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1B46" w14:textId="77777777" w:rsidR="00C86EF4" w:rsidRPr="005F2E1E" w:rsidRDefault="00C86EF4" w:rsidP="00C86EF4">
    <w:pPr>
      <w:autoSpaceDE w:val="0"/>
      <w:autoSpaceDN w:val="0"/>
      <w:adjustRightInd w:val="0"/>
      <w:spacing w:after="0" w:line="240" w:lineRule="auto"/>
      <w:jc w:val="center"/>
      <w:rPr>
        <w:rFonts w:ascii="NirmalaUI" w:hAnsi="NirmalaUI" w:cs="NirmalaUI"/>
        <w:sz w:val="12"/>
        <w:szCs w:val="12"/>
      </w:rPr>
    </w:pPr>
    <w:r w:rsidRPr="005F2E1E">
      <w:rPr>
        <w:rFonts w:ascii="NirmalaUI" w:hAnsi="NirmalaUI" w:cs="NirmalaUI"/>
        <w:sz w:val="12"/>
        <w:szCs w:val="12"/>
      </w:rPr>
      <w:t xml:space="preserve">Roger de </w:t>
    </w:r>
    <w:proofErr w:type="spellStart"/>
    <w:r w:rsidRPr="005F2E1E">
      <w:rPr>
        <w:rFonts w:ascii="NirmalaUI" w:hAnsi="NirmalaUI" w:cs="NirmalaUI"/>
        <w:sz w:val="12"/>
        <w:szCs w:val="12"/>
      </w:rPr>
      <w:t>Llúria</w:t>
    </w:r>
    <w:proofErr w:type="spellEnd"/>
    <w:r w:rsidRPr="005F2E1E">
      <w:rPr>
        <w:rFonts w:ascii="NirmalaUI" w:hAnsi="NirmalaUI" w:cs="NirmalaUI"/>
        <w:sz w:val="12"/>
        <w:szCs w:val="12"/>
      </w:rPr>
      <w:t>, 113. 08037 Barcelona, Spain • T. (+34) 933 198 117 secretaria@tab.es • www.tab.es</w:t>
    </w:r>
  </w:p>
  <w:p w14:paraId="7FD1212C" w14:textId="77777777" w:rsidR="00C86EF4" w:rsidRPr="005F2E1E" w:rsidRDefault="00C86EF4" w:rsidP="00C86EF4">
    <w:pPr>
      <w:autoSpaceDE w:val="0"/>
      <w:autoSpaceDN w:val="0"/>
      <w:adjustRightInd w:val="0"/>
      <w:spacing w:after="0" w:line="240" w:lineRule="auto"/>
      <w:jc w:val="center"/>
      <w:rPr>
        <w:rFonts w:ascii="NirmalaUI" w:hAnsi="NirmalaUI" w:cs="NirmalaUI"/>
        <w:sz w:val="12"/>
        <w:szCs w:val="12"/>
      </w:rPr>
    </w:pPr>
    <w:r w:rsidRPr="005F2E1E">
      <w:rPr>
        <w:rFonts w:ascii="NirmalaUI" w:hAnsi="NirmalaUI" w:cs="NirmalaUI"/>
        <w:sz w:val="12"/>
        <w:szCs w:val="12"/>
      </w:rPr>
      <w:t xml:space="preserve">Tribunal Arbitral de Barcelona® · Tribunal Arbitral de Catalunya® Associació Catalana per a </w:t>
    </w:r>
    <w:proofErr w:type="spellStart"/>
    <w:r w:rsidRPr="005F2E1E">
      <w:rPr>
        <w:rFonts w:ascii="NirmalaUI" w:hAnsi="NirmalaUI" w:cs="NirmalaUI"/>
        <w:sz w:val="12"/>
        <w:szCs w:val="12"/>
      </w:rPr>
      <w:t>lʼArbitratge</w:t>
    </w:r>
    <w:proofErr w:type="spellEnd"/>
    <w:r w:rsidRPr="005F2E1E">
      <w:rPr>
        <w:rFonts w:ascii="NirmalaUI" w:hAnsi="NirmalaUI" w:cs="NirmalaUI"/>
        <w:sz w:val="12"/>
        <w:szCs w:val="12"/>
      </w:rPr>
      <w:t>.</w:t>
    </w:r>
  </w:p>
  <w:p w14:paraId="14F27F89" w14:textId="77777777" w:rsidR="00C86EF4" w:rsidRPr="005F2E1E" w:rsidRDefault="00C86EF4" w:rsidP="00C86EF4">
    <w:pPr>
      <w:pStyle w:val="Piedepgina"/>
      <w:jc w:val="center"/>
      <w:rPr>
        <w:sz w:val="12"/>
        <w:szCs w:val="12"/>
      </w:rPr>
    </w:pPr>
    <w:r w:rsidRPr="005F2E1E">
      <w:rPr>
        <w:rFonts w:ascii="NirmalaUI" w:hAnsi="NirmalaUI" w:cs="NirmalaUI"/>
        <w:sz w:val="12"/>
        <w:szCs w:val="12"/>
      </w:rPr>
      <w:t xml:space="preserve">CIF núm. G-58941964. Inscrita en el Registre </w:t>
    </w:r>
    <w:proofErr w:type="spellStart"/>
    <w:r w:rsidRPr="005F2E1E">
      <w:rPr>
        <w:rFonts w:ascii="NirmalaUI" w:hAnsi="NirmalaUI" w:cs="NirmalaUI"/>
        <w:sz w:val="12"/>
        <w:szCs w:val="12"/>
      </w:rPr>
      <w:t>dʼAssociacions</w:t>
    </w:r>
    <w:proofErr w:type="spellEnd"/>
    <w:r w:rsidRPr="005F2E1E">
      <w:rPr>
        <w:rFonts w:ascii="NirmalaUI" w:hAnsi="NirmalaUI" w:cs="NirmalaUI"/>
        <w:sz w:val="12"/>
        <w:szCs w:val="12"/>
      </w:rPr>
      <w:t xml:space="preserve"> de la Generalitat de Catalunya amb el núm. 10643.</w:t>
    </w:r>
  </w:p>
  <w:p w14:paraId="7BEB6E5A" w14:textId="77777777" w:rsidR="00C86EF4" w:rsidRDefault="00C86E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7004" w14:textId="77777777" w:rsidR="00D52094" w:rsidRDefault="00D52094" w:rsidP="009D2E70">
      <w:pPr>
        <w:spacing w:after="0" w:line="240" w:lineRule="auto"/>
      </w:pPr>
      <w:r>
        <w:separator/>
      </w:r>
    </w:p>
  </w:footnote>
  <w:footnote w:type="continuationSeparator" w:id="0">
    <w:p w14:paraId="00373E1B" w14:textId="77777777" w:rsidR="00D52094" w:rsidRDefault="00D52094" w:rsidP="009D2E70">
      <w:pPr>
        <w:spacing w:after="0" w:line="240" w:lineRule="auto"/>
      </w:pPr>
      <w:r>
        <w:continuationSeparator/>
      </w:r>
    </w:p>
  </w:footnote>
  <w:footnote w:id="1">
    <w:p w14:paraId="557D5B17" w14:textId="587E93D4" w:rsidR="00FE201F" w:rsidRPr="00A97C57" w:rsidRDefault="00FE201F" w:rsidP="005F24C6">
      <w:pPr>
        <w:pStyle w:val="Textonotapie"/>
        <w:jc w:val="both"/>
        <w:rPr>
          <w:rFonts w:ascii="Calibri Light" w:hAnsi="Calibri Light" w:cs="Calibri Light"/>
          <w:sz w:val="18"/>
          <w:szCs w:val="18"/>
          <w:lang w:val="en-GB"/>
        </w:rPr>
      </w:pPr>
      <w:r w:rsidRPr="00A97C57">
        <w:rPr>
          <w:rStyle w:val="Refdenotaalpie"/>
          <w:rFonts w:ascii="Calibri Light" w:hAnsi="Calibri Light" w:cs="Calibri Light"/>
          <w:sz w:val="18"/>
          <w:szCs w:val="18"/>
          <w:lang w:val="en-GB"/>
        </w:rPr>
        <w:footnoteRef/>
      </w:r>
      <w:r w:rsidRPr="00A97C57">
        <w:rPr>
          <w:rFonts w:ascii="Calibri Light" w:hAnsi="Calibri Light" w:cs="Calibri Light"/>
          <w:sz w:val="18"/>
          <w:szCs w:val="18"/>
          <w:lang w:val="en-GB"/>
        </w:rPr>
        <w:t xml:space="preserve"> </w:t>
      </w:r>
      <w:r w:rsidR="00034980" w:rsidRPr="00A97C57">
        <w:rPr>
          <w:rFonts w:ascii="Calibri Light" w:hAnsi="Calibri Light" w:cs="Calibri Light"/>
          <w:sz w:val="18"/>
          <w:szCs w:val="18"/>
          <w:lang w:val="en-GB"/>
        </w:rPr>
        <w:t>The increase in the pre-arbitration phase of the summary procedure is motivated by the resignations of the arbitrators appointed in one of the cases, as well as by the fact that in some instances the parties had to assume the administration fees and honoraria in full, and that in one of the cases a final hearing had to be held.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103D" w14:textId="6335A139" w:rsidR="00C86EF4" w:rsidRDefault="00C86EF4" w:rsidP="00C86EF4">
    <w:pPr>
      <w:pStyle w:val="Encabezado"/>
      <w:jc w:val="right"/>
    </w:pPr>
    <w:r w:rsidRPr="005F2E1E">
      <w:rPr>
        <w:noProof/>
      </w:rPr>
      <w:drawing>
        <wp:inline distT="0" distB="0" distL="0" distR="0" wp14:anchorId="1B76FEEC" wp14:editId="3F1E56D6">
          <wp:extent cx="647700" cy="647700"/>
          <wp:effectExtent l="0" t="0" r="0" b="0"/>
          <wp:docPr id="233623628" name="Imagen 23362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21398" name=""/>
                  <pic:cNvPicPr/>
                </pic:nvPicPr>
                <pic:blipFill>
                  <a:blip r:embed="rId1"/>
                  <a:stretch>
                    <a:fillRect/>
                  </a:stretch>
                </pic:blipFill>
                <pic:spPr>
                  <a:xfrm>
                    <a:off x="0" y="0"/>
                    <a:ext cx="647700" cy="6477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C771" w14:textId="023D0BF1" w:rsidR="00E02394" w:rsidRDefault="00E02394" w:rsidP="00E02394">
    <w:pPr>
      <w:pStyle w:val="Encabezado"/>
      <w:jc w:val="right"/>
    </w:pPr>
    <w:r w:rsidRPr="005F2E1E">
      <w:rPr>
        <w:noProof/>
      </w:rPr>
      <w:drawing>
        <wp:inline distT="0" distB="0" distL="0" distR="0" wp14:anchorId="7AFFD0B3" wp14:editId="7614279A">
          <wp:extent cx="647700" cy="647700"/>
          <wp:effectExtent l="0" t="0" r="0" b="0"/>
          <wp:docPr id="1276775803" name="Imagen 1276775803" descr="Texto,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75803" name="Imagen 1276775803" descr="Texto, Icono&#10;&#10;El contenido generado por IA puede ser incorrecto."/>
                  <pic:cNvPicPr/>
                </pic:nvPicPr>
                <pic:blipFill>
                  <a:blip r:embed="rId1"/>
                  <a:stretch>
                    <a:fillRect/>
                  </a:stretch>
                </pic:blipFill>
                <pic:spPr>
                  <a:xfrm>
                    <a:off x="0" y="0"/>
                    <a:ext cx="647700" cy="6477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84F"/>
    <w:rsid w:val="000248C1"/>
    <w:rsid w:val="00034980"/>
    <w:rsid w:val="00042D11"/>
    <w:rsid w:val="00066C1A"/>
    <w:rsid w:val="00072716"/>
    <w:rsid w:val="000C5A11"/>
    <w:rsid w:val="000D2FAE"/>
    <w:rsid w:val="000E3B62"/>
    <w:rsid w:val="000F2A0E"/>
    <w:rsid w:val="000F3153"/>
    <w:rsid w:val="000F4529"/>
    <w:rsid w:val="00112ED8"/>
    <w:rsid w:val="00134A14"/>
    <w:rsid w:val="00143105"/>
    <w:rsid w:val="001579B0"/>
    <w:rsid w:val="00161F78"/>
    <w:rsid w:val="0016787B"/>
    <w:rsid w:val="001A0ED0"/>
    <w:rsid w:val="001D4E3F"/>
    <w:rsid w:val="001F58C2"/>
    <w:rsid w:val="0027672C"/>
    <w:rsid w:val="002C5FFC"/>
    <w:rsid w:val="002E7E85"/>
    <w:rsid w:val="002F1121"/>
    <w:rsid w:val="00303899"/>
    <w:rsid w:val="0031555B"/>
    <w:rsid w:val="003243AD"/>
    <w:rsid w:val="00377C39"/>
    <w:rsid w:val="003856D6"/>
    <w:rsid w:val="00385FFD"/>
    <w:rsid w:val="003E2589"/>
    <w:rsid w:val="00440FD9"/>
    <w:rsid w:val="00481AEE"/>
    <w:rsid w:val="00482103"/>
    <w:rsid w:val="004C5551"/>
    <w:rsid w:val="0053212E"/>
    <w:rsid w:val="005513E4"/>
    <w:rsid w:val="00583A68"/>
    <w:rsid w:val="005D12E1"/>
    <w:rsid w:val="005F24C6"/>
    <w:rsid w:val="005F5E8A"/>
    <w:rsid w:val="006050BB"/>
    <w:rsid w:val="00642180"/>
    <w:rsid w:val="006559BB"/>
    <w:rsid w:val="006664D8"/>
    <w:rsid w:val="00675AC6"/>
    <w:rsid w:val="00697FB4"/>
    <w:rsid w:val="006D3183"/>
    <w:rsid w:val="006E542A"/>
    <w:rsid w:val="00712826"/>
    <w:rsid w:val="00715FA0"/>
    <w:rsid w:val="00761679"/>
    <w:rsid w:val="007A315D"/>
    <w:rsid w:val="007E25A6"/>
    <w:rsid w:val="007E6617"/>
    <w:rsid w:val="007F0E27"/>
    <w:rsid w:val="007F598A"/>
    <w:rsid w:val="00836F0E"/>
    <w:rsid w:val="0084300D"/>
    <w:rsid w:val="00883A36"/>
    <w:rsid w:val="008D38AC"/>
    <w:rsid w:val="00923397"/>
    <w:rsid w:val="00962E30"/>
    <w:rsid w:val="009A0CB0"/>
    <w:rsid w:val="009C17EF"/>
    <w:rsid w:val="009D2E70"/>
    <w:rsid w:val="00A02DA7"/>
    <w:rsid w:val="00A21C3E"/>
    <w:rsid w:val="00A62BDA"/>
    <w:rsid w:val="00A97C57"/>
    <w:rsid w:val="00AA0920"/>
    <w:rsid w:val="00AA494D"/>
    <w:rsid w:val="00AB4642"/>
    <w:rsid w:val="00AC6E6C"/>
    <w:rsid w:val="00AD7935"/>
    <w:rsid w:val="00AF61B4"/>
    <w:rsid w:val="00B46949"/>
    <w:rsid w:val="00B550E9"/>
    <w:rsid w:val="00B6506C"/>
    <w:rsid w:val="00B860AA"/>
    <w:rsid w:val="00B95D51"/>
    <w:rsid w:val="00BC0BB8"/>
    <w:rsid w:val="00BF1FA4"/>
    <w:rsid w:val="00BF384F"/>
    <w:rsid w:val="00C47149"/>
    <w:rsid w:val="00C86EF4"/>
    <w:rsid w:val="00CB740D"/>
    <w:rsid w:val="00CD5604"/>
    <w:rsid w:val="00D33870"/>
    <w:rsid w:val="00D367B7"/>
    <w:rsid w:val="00D52094"/>
    <w:rsid w:val="00D92200"/>
    <w:rsid w:val="00DC3281"/>
    <w:rsid w:val="00DD0C1B"/>
    <w:rsid w:val="00DF4CD4"/>
    <w:rsid w:val="00E02394"/>
    <w:rsid w:val="00E27C00"/>
    <w:rsid w:val="00E35226"/>
    <w:rsid w:val="00E427E1"/>
    <w:rsid w:val="00E61BFE"/>
    <w:rsid w:val="00E6281E"/>
    <w:rsid w:val="00E840F0"/>
    <w:rsid w:val="00E9726B"/>
    <w:rsid w:val="00EF4AF2"/>
    <w:rsid w:val="00F252DA"/>
    <w:rsid w:val="00F72A79"/>
    <w:rsid w:val="00FB4E39"/>
    <w:rsid w:val="00FB5919"/>
    <w:rsid w:val="00FC0BB4"/>
    <w:rsid w:val="00FE201F"/>
    <w:rsid w:val="00FF55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60FF7"/>
  <w15:chartTrackingRefBased/>
  <w15:docId w15:val="{602D29F9-B539-428E-8B8E-0B2912A9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BF3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F3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F38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38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F38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38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38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38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38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384F"/>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BF384F"/>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BF384F"/>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BF384F"/>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BF384F"/>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BF384F"/>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BF384F"/>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BF384F"/>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BF384F"/>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BF3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84F"/>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BF38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384F"/>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BF384F"/>
    <w:pPr>
      <w:spacing w:before="160"/>
      <w:jc w:val="center"/>
    </w:pPr>
    <w:rPr>
      <w:i/>
      <w:iCs/>
      <w:color w:val="404040" w:themeColor="text1" w:themeTint="BF"/>
    </w:rPr>
  </w:style>
  <w:style w:type="character" w:customStyle="1" w:styleId="CitaCar">
    <w:name w:val="Cita Car"/>
    <w:basedOn w:val="Fuentedeprrafopredeter"/>
    <w:link w:val="Cita"/>
    <w:uiPriority w:val="29"/>
    <w:rsid w:val="00BF384F"/>
    <w:rPr>
      <w:i/>
      <w:iCs/>
      <w:color w:val="404040" w:themeColor="text1" w:themeTint="BF"/>
      <w:lang w:val="es-ES_tradnl"/>
    </w:rPr>
  </w:style>
  <w:style w:type="paragraph" w:styleId="Prrafodelista">
    <w:name w:val="List Paragraph"/>
    <w:basedOn w:val="Normal"/>
    <w:uiPriority w:val="34"/>
    <w:qFormat/>
    <w:rsid w:val="00BF384F"/>
    <w:pPr>
      <w:ind w:left="720"/>
      <w:contextualSpacing/>
    </w:pPr>
  </w:style>
  <w:style w:type="character" w:styleId="nfasisintenso">
    <w:name w:val="Intense Emphasis"/>
    <w:basedOn w:val="Fuentedeprrafopredeter"/>
    <w:uiPriority w:val="21"/>
    <w:qFormat/>
    <w:rsid w:val="00BF384F"/>
    <w:rPr>
      <w:i/>
      <w:iCs/>
      <w:color w:val="0F4761" w:themeColor="accent1" w:themeShade="BF"/>
    </w:rPr>
  </w:style>
  <w:style w:type="paragraph" w:styleId="Citadestacada">
    <w:name w:val="Intense Quote"/>
    <w:basedOn w:val="Normal"/>
    <w:next w:val="Normal"/>
    <w:link w:val="CitadestacadaCar"/>
    <w:uiPriority w:val="30"/>
    <w:qFormat/>
    <w:rsid w:val="00BF3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384F"/>
    <w:rPr>
      <w:i/>
      <w:iCs/>
      <w:color w:val="0F4761" w:themeColor="accent1" w:themeShade="BF"/>
      <w:lang w:val="es-ES_tradnl"/>
    </w:rPr>
  </w:style>
  <w:style w:type="character" w:styleId="Referenciaintensa">
    <w:name w:val="Intense Reference"/>
    <w:basedOn w:val="Fuentedeprrafopredeter"/>
    <w:uiPriority w:val="32"/>
    <w:qFormat/>
    <w:rsid w:val="00BF384F"/>
    <w:rPr>
      <w:b/>
      <w:bCs/>
      <w:smallCaps/>
      <w:color w:val="0F4761" w:themeColor="accent1" w:themeShade="BF"/>
      <w:spacing w:val="5"/>
    </w:rPr>
  </w:style>
  <w:style w:type="paragraph" w:styleId="Encabezado">
    <w:name w:val="header"/>
    <w:basedOn w:val="Normal"/>
    <w:link w:val="EncabezadoCar"/>
    <w:uiPriority w:val="99"/>
    <w:unhideWhenUsed/>
    <w:rsid w:val="009D2E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2E70"/>
    <w:rPr>
      <w:lang w:val="es-ES_tradnl"/>
    </w:rPr>
  </w:style>
  <w:style w:type="paragraph" w:styleId="Piedepgina">
    <w:name w:val="footer"/>
    <w:basedOn w:val="Normal"/>
    <w:link w:val="PiedepginaCar"/>
    <w:uiPriority w:val="99"/>
    <w:unhideWhenUsed/>
    <w:rsid w:val="009D2E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2E70"/>
    <w:rPr>
      <w:lang w:val="es-ES_tradnl"/>
    </w:rPr>
  </w:style>
  <w:style w:type="paragraph" w:styleId="Textonotapie">
    <w:name w:val="footnote text"/>
    <w:basedOn w:val="Normal"/>
    <w:link w:val="TextonotapieCar"/>
    <w:uiPriority w:val="99"/>
    <w:semiHidden/>
    <w:unhideWhenUsed/>
    <w:rsid w:val="00FE20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E201F"/>
    <w:rPr>
      <w:sz w:val="20"/>
      <w:szCs w:val="20"/>
      <w:lang w:val="es-ES_tradnl"/>
    </w:rPr>
  </w:style>
  <w:style w:type="character" w:styleId="Refdenotaalpie">
    <w:name w:val="footnote reference"/>
    <w:basedOn w:val="Fuentedeprrafopredeter"/>
    <w:uiPriority w:val="99"/>
    <w:semiHidden/>
    <w:unhideWhenUsed/>
    <w:rsid w:val="00FE201F"/>
    <w:rPr>
      <w:vertAlign w:val="superscript"/>
    </w:rPr>
  </w:style>
  <w:style w:type="paragraph" w:styleId="NormalWeb">
    <w:name w:val="Normal (Web)"/>
    <w:basedOn w:val="Normal"/>
    <w:uiPriority w:val="99"/>
    <w:semiHidden/>
    <w:unhideWhenUsed/>
    <w:rsid w:val="00AF61B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4.xm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6.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34474618891685"/>
          <c:y val="0.11122644553151784"/>
          <c:w val="0.5773105076221664"/>
          <c:h val="0.77754710893696433"/>
        </c:manualLayout>
      </c:layout>
      <c:doughnutChart>
        <c:varyColors val="1"/>
        <c:ser>
          <c:idx val="0"/>
          <c:order val="0"/>
          <c:dPt>
            <c:idx val="0"/>
            <c:bubble3D val="0"/>
            <c:spPr>
              <a:solidFill>
                <a:srgbClr val="99CC00"/>
              </a:solidFill>
              <a:ln w="19050">
                <a:solidFill>
                  <a:schemeClr val="lt1"/>
                </a:solidFill>
              </a:ln>
              <a:effectLst/>
            </c:spPr>
            <c:extLst>
              <c:ext xmlns:c16="http://schemas.microsoft.com/office/drawing/2014/chart" uri="{C3380CC4-5D6E-409C-BE32-E72D297353CC}">
                <c16:uniqueId val="{00000001-477F-4E58-A209-BA282A935262}"/>
              </c:ext>
            </c:extLst>
          </c:dPt>
          <c:dPt>
            <c:idx val="1"/>
            <c:bubble3D val="0"/>
            <c:spPr>
              <a:solidFill>
                <a:srgbClr val="00CC99"/>
              </a:solidFill>
              <a:ln w="19050">
                <a:solidFill>
                  <a:schemeClr val="lt1"/>
                </a:solidFill>
              </a:ln>
              <a:effectLst/>
            </c:spPr>
            <c:extLst>
              <c:ext xmlns:c16="http://schemas.microsoft.com/office/drawing/2014/chart" uri="{C3380CC4-5D6E-409C-BE32-E72D297353CC}">
                <c16:uniqueId val="{00000003-477F-4E58-A209-BA282A935262}"/>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477F-4E58-A209-BA282A935262}"/>
              </c:ext>
            </c:extLst>
          </c:dPt>
          <c:dPt>
            <c:idx val="3"/>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7-477F-4E58-A209-BA282A935262}"/>
              </c:ext>
            </c:extLst>
          </c:dPt>
          <c:dPt>
            <c:idx val="4"/>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9-477F-4E58-A209-BA282A93526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77F-4E58-A209-BA282A935262}"/>
              </c:ext>
            </c:extLst>
          </c:dPt>
          <c:dPt>
            <c:idx val="6"/>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D-477F-4E58-A209-BA282A935262}"/>
              </c:ext>
            </c:extLst>
          </c:dPt>
          <c:dPt>
            <c:idx val="7"/>
            <c:bubble3D val="0"/>
            <c:spPr>
              <a:solidFill>
                <a:srgbClr val="008000"/>
              </a:solidFill>
              <a:ln w="19050">
                <a:noFill/>
              </a:ln>
              <a:effectLst/>
            </c:spPr>
            <c:extLst>
              <c:ext xmlns:c16="http://schemas.microsoft.com/office/drawing/2014/chart" uri="{C3380CC4-5D6E-409C-BE32-E72D297353CC}">
                <c16:uniqueId val="{0000000F-477F-4E58-A209-BA282A935262}"/>
              </c:ext>
            </c:extLst>
          </c:dPt>
          <c:dPt>
            <c:idx val="8"/>
            <c:bubble3D val="0"/>
            <c:spPr>
              <a:solidFill>
                <a:srgbClr val="99FF66"/>
              </a:solidFill>
              <a:ln w="19050">
                <a:solidFill>
                  <a:schemeClr val="lt1"/>
                </a:solidFill>
              </a:ln>
              <a:effectLst/>
            </c:spPr>
            <c:extLst>
              <c:ext xmlns:c16="http://schemas.microsoft.com/office/drawing/2014/chart" uri="{C3380CC4-5D6E-409C-BE32-E72D297353CC}">
                <c16:uniqueId val="{00000011-477F-4E58-A209-BA282A935262}"/>
              </c:ext>
            </c:extLst>
          </c:dPt>
          <c:dLbls>
            <c:dLbl>
              <c:idx val="0"/>
              <c:layout>
                <c:manualLayout>
                  <c:x val="0.16546874896059"/>
                  <c:y val="-8.461225489203375E-2"/>
                </c:manualLayout>
              </c:layout>
              <c:tx>
                <c:rich>
                  <a:bodyPr/>
                  <a:lstStyle/>
                  <a:p>
                    <a:r>
                      <a:rPr lang="en-US"/>
                      <a:t>Urban and Rural tenancies</a:t>
                    </a:r>
                    <a:r>
                      <a:rPr lang="en-US" baseline="0"/>
                      <a:t>
</a:t>
                    </a:r>
                    <a:fld id="{D9CCB732-D34A-4BEF-BAF2-D4B6F50258BE}"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77F-4E58-A209-BA282A935262}"/>
                </c:ext>
              </c:extLst>
            </c:dLbl>
            <c:dLbl>
              <c:idx val="1"/>
              <c:layout>
                <c:manualLayout>
                  <c:x val="0.28052583612911514"/>
                  <c:y val="3.262764496342057E-2"/>
                </c:manualLayout>
              </c:layout>
              <c:tx>
                <c:rich>
                  <a:bodyPr/>
                  <a:lstStyle/>
                  <a:p>
                    <a:r>
                      <a:rPr lang="en-US"/>
                      <a:t>Construction contract </a:t>
                    </a:r>
                  </a:p>
                  <a:p>
                    <a:r>
                      <a:rPr lang="en-US"/>
                      <a:t>(developer-builder)</a:t>
                    </a:r>
                    <a:r>
                      <a:rPr lang="en-US" baseline="0"/>
                      <a:t>
</a:t>
                    </a:r>
                    <a:fld id="{5D27826C-C144-49F5-B76C-0EEF3D74723B}"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77F-4E58-A209-BA282A935262}"/>
                </c:ext>
              </c:extLst>
            </c:dLbl>
            <c:dLbl>
              <c:idx val="2"/>
              <c:layout>
                <c:manualLayout>
                  <c:x val="0.19728611436946894"/>
                  <c:y val="5.3703085585462385E-2"/>
                </c:manualLayout>
              </c:layout>
              <c:tx>
                <c:rich>
                  <a:bodyPr/>
                  <a:lstStyle/>
                  <a:p>
                    <a:r>
                      <a:rPr lang="en-US"/>
                      <a:t>Collaboration</a:t>
                    </a:r>
                    <a:r>
                      <a:rPr lang="en-US" baseline="0"/>
                      <a:t> agreements
</a:t>
                    </a:r>
                    <a:fld id="{46DE1426-EF1A-42C6-8053-15683C4EF11D}"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77F-4E58-A209-BA282A935262}"/>
                </c:ext>
              </c:extLst>
            </c:dLbl>
            <c:dLbl>
              <c:idx val="3"/>
              <c:layout>
                <c:manualLayout>
                  <c:x val="0.17313913651617657"/>
                  <c:y val="1.9184642618054158E-2"/>
                </c:manualLayout>
              </c:layout>
              <c:tx>
                <c:rich>
                  <a:bodyPr/>
                  <a:lstStyle/>
                  <a:p>
                    <a:r>
                      <a:rPr lang="en-US" sz="800" b="1" i="0" u="none" strike="noStrike" baseline="0"/>
                      <a:t>contracts for the commercial sale and transfer of goods</a:t>
                    </a:r>
                    <a:r>
                      <a:rPr lang="en-US" baseline="0"/>
                      <a:t>
</a:t>
                    </a:r>
                    <a:fld id="{102EC17B-EEE6-43F6-903E-A7D5A4AEC17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77F-4E58-A209-BA282A935262}"/>
                </c:ext>
              </c:extLst>
            </c:dLbl>
            <c:dLbl>
              <c:idx val="4"/>
              <c:layout>
                <c:manualLayout>
                  <c:x val="0.19805772069824876"/>
                  <c:y val="8.0041688702640751E-2"/>
                </c:manualLayout>
              </c:layout>
              <c:tx>
                <c:rich>
                  <a:bodyPr/>
                  <a:lstStyle/>
                  <a:p>
                    <a:r>
                      <a:rPr lang="en-US" sz="800" b="1" i="0" u="none" strike="noStrike" baseline="0"/>
                      <a:t>Professional and commercial service contracts</a:t>
                    </a:r>
                    <a:r>
                      <a:rPr lang="en-US" baseline="0"/>
                      <a:t>
</a:t>
                    </a:r>
                    <a:fld id="{7F22DD76-47D7-4DAA-92E9-442D1CF28E99}"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77F-4E58-A209-BA282A935262}"/>
                </c:ext>
              </c:extLst>
            </c:dLbl>
            <c:dLbl>
              <c:idx val="5"/>
              <c:layout>
                <c:manualLayout>
                  <c:x val="-0.22286391545466844"/>
                  <c:y val="7.0385711862459163E-2"/>
                </c:manualLayout>
              </c:layout>
              <c:tx>
                <c:rich>
                  <a:bodyPr/>
                  <a:lstStyle/>
                  <a:p>
                    <a:r>
                      <a:rPr lang="en-US" sz="800" b="1" i="0" u="none" strike="noStrike" baseline="0"/>
                      <a:t>Banking and capital markets law</a:t>
                    </a:r>
                    <a:r>
                      <a:rPr lang="en-US" baseline="0"/>
                      <a:t>
</a:t>
                    </a:r>
                    <a:fld id="{A592FE02-D1EF-4875-9F1A-5EC7B9B0A22A}"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77F-4E58-A209-BA282A935262}"/>
                </c:ext>
              </c:extLst>
            </c:dLbl>
            <c:dLbl>
              <c:idx val="6"/>
              <c:layout>
                <c:manualLayout>
                  <c:x val="-0.29611643517214953"/>
                  <c:y val="-0.13724141069968407"/>
                </c:manualLayout>
              </c:layout>
              <c:tx>
                <c:rich>
                  <a:bodyPr/>
                  <a:lstStyle/>
                  <a:p>
                    <a:r>
                      <a:rPr lang="en-US"/>
                      <a:t>Tort law,</a:t>
                    </a:r>
                    <a:r>
                      <a:rPr lang="en-US" baseline="0"/>
                      <a:t> civil liability, and insurance law
</a:t>
                    </a:r>
                    <a:fld id="{11D4AAE0-EB40-42AA-8EA2-6D83C8B31D66}"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77F-4E58-A209-BA282A935262}"/>
                </c:ext>
              </c:extLst>
            </c:dLbl>
            <c:dLbl>
              <c:idx val="7"/>
              <c:layout>
                <c:manualLayout>
                  <c:x val="-0.17239732917272593"/>
                  <c:y val="-4.397520869986930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77F-4E58-A209-BA282A935262}"/>
                </c:ext>
              </c:extLst>
            </c:dLbl>
            <c:dLbl>
              <c:idx val="8"/>
              <c:layout>
                <c:manualLayout>
                  <c:x val="-0.2766989938716467"/>
                  <c:y val="-4.1566725672450677E-2"/>
                </c:manualLayout>
              </c:layout>
              <c:tx>
                <c:rich>
                  <a:bodyPr/>
                  <a:lstStyle/>
                  <a:p>
                    <a:r>
                      <a:rPr lang="en-US" sz="800" b="1" i="0" u="none" strike="noStrike" baseline="0"/>
                      <a:t>Inheritance </a:t>
                    </a:r>
                  </a:p>
                  <a:p>
                    <a:r>
                      <a:rPr lang="en-US" sz="800" b="1" i="0" u="none" strike="noStrike" baseline="0"/>
                      <a:t>and gifts</a:t>
                    </a:r>
                    <a:r>
                      <a:rPr lang="en-US" baseline="0"/>
                      <a:t>
</a:t>
                    </a:r>
                    <a:fld id="{8C09FF06-3266-46DC-B1DA-B2B0A7467ECB}"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477F-4E58-A209-BA282A93526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'Matèries-objecte'!$K$4:$K$12</c:f>
              <c:strCache>
                <c:ptCount val="9"/>
                <c:pt idx="0">
                  <c:v>Arrendaments urbans i rústics</c:v>
                </c:pt>
                <c:pt idx="1">
                  <c:v>Contracte d'obra (promotor-constructor)</c:v>
                </c:pt>
                <c:pt idx="2">
                  <c:v>Contractes col·laboració</c:v>
                </c:pt>
                <c:pt idx="3">
                  <c:v>Contractes de compravenda mercantil i lliurament de coses</c:v>
                </c:pt>
                <c:pt idx="4">
                  <c:v>Contractes de prestació de serveis professionals i mercantils</c:v>
                </c:pt>
                <c:pt idx="5">
                  <c:v>Dret Bancari i Mercat de Valors</c:v>
                </c:pt>
                <c:pt idx="6">
                  <c:v>Dret de danys i responsabilitat civil i assegurances</c:v>
                </c:pt>
                <c:pt idx="7">
                  <c:v>Dret societari</c:v>
                </c:pt>
                <c:pt idx="8">
                  <c:v>Successions i donacions</c:v>
                </c:pt>
              </c:strCache>
            </c:strRef>
          </c:cat>
          <c:val>
            <c:numRef>
              <c:f>'Matèries-objecte'!$L$4:$L$12</c:f>
              <c:numCache>
                <c:formatCode>General</c:formatCode>
                <c:ptCount val="9"/>
                <c:pt idx="0">
                  <c:v>2</c:v>
                </c:pt>
                <c:pt idx="1">
                  <c:v>3</c:v>
                </c:pt>
                <c:pt idx="2">
                  <c:v>6</c:v>
                </c:pt>
                <c:pt idx="3">
                  <c:v>3</c:v>
                </c:pt>
                <c:pt idx="4">
                  <c:v>6</c:v>
                </c:pt>
                <c:pt idx="5">
                  <c:v>1</c:v>
                </c:pt>
                <c:pt idx="6">
                  <c:v>4</c:v>
                </c:pt>
                <c:pt idx="7">
                  <c:v>15</c:v>
                </c:pt>
                <c:pt idx="8">
                  <c:v>1</c:v>
                </c:pt>
              </c:numCache>
            </c:numRef>
          </c:val>
          <c:extLst>
            <c:ext xmlns:c16="http://schemas.microsoft.com/office/drawing/2014/chart" uri="{C3380CC4-5D6E-409C-BE32-E72D297353CC}">
              <c16:uniqueId val="{00000012-477F-4E58-A209-BA282A935262}"/>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463690209918897"/>
          <c:y val="3.7470794250656983E-2"/>
          <c:w val="0.74018416447944002"/>
          <c:h val="0.84468467505719724"/>
        </c:manualLayout>
      </c:layout>
      <c:barChart>
        <c:barDir val="bar"/>
        <c:grouping val="stacked"/>
        <c:varyColors val="0"/>
        <c:ser>
          <c:idx val="1"/>
          <c:order val="0"/>
          <c:tx>
            <c:strRef>
              <c:f>Durada!$J$57</c:f>
              <c:strCache>
                <c:ptCount val="1"/>
                <c:pt idx="0">
                  <c:v>months</c:v>
                </c:pt>
              </c:strCache>
            </c:strRef>
          </c:tx>
          <c:spPr>
            <a:solidFill>
              <a:srgbClr val="008000"/>
            </a:solidFill>
            <a:ln>
              <a:noFill/>
            </a:ln>
            <a:effectLst/>
          </c:spPr>
          <c:invertIfNegative val="0"/>
          <c:dLbls>
            <c:dLbl>
              <c:idx val="1"/>
              <c:layout>
                <c:manualLayout>
                  <c:x val="0.17967116774876818"/>
                  <c:y val="1.10615105869322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F7-4C78-BAC4-0D2D14551A88}"/>
                </c:ext>
              </c:extLst>
            </c:dLbl>
            <c:dLbl>
              <c:idx val="3"/>
              <c:layout>
                <c:manualLayout>
                  <c:x val="0.3049462978311920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F7-4C78-BAC4-0D2D14551A88}"/>
                </c:ext>
              </c:extLst>
            </c:dLbl>
            <c:dLbl>
              <c:idx val="5"/>
              <c:layout>
                <c:manualLayout>
                  <c:x val="0.35773993875765531"/>
                  <c:y val="5.9790732436472071E-3"/>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ABF7-4C78-BAC4-0D2D14551A8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Durada!$G$58:$H$64</c:f>
              <c:multiLvlStrCache>
                <c:ptCount val="6"/>
                <c:lvl>
                  <c:pt idx="1">
                    <c:v>trimmed mean</c:v>
                  </c:pt>
                  <c:pt idx="3">
                    <c:v>trimmed mean</c:v>
                  </c:pt>
                  <c:pt idx="5">
                    <c:v>trimmed mean</c:v>
                  </c:pt>
                </c:lvl>
                <c:lvl>
                  <c:pt idx="1">
                    <c:v>Pre-arbitration</c:v>
                  </c:pt>
                  <c:pt idx="3">
                    <c:v>Arbitration</c:v>
                  </c:pt>
                  <c:pt idx="5">
                    <c:v>Total</c:v>
                  </c:pt>
                </c:lvl>
              </c:multiLvlStrCache>
            </c:multiLvlStrRef>
          </c:cat>
          <c:val>
            <c:numRef>
              <c:f>Durada!$J$58:$J$64</c:f>
              <c:numCache>
                <c:formatCode>0.0</c:formatCode>
                <c:ptCount val="7"/>
                <c:pt idx="1">
                  <c:v>3.4250000000000003</c:v>
                </c:pt>
                <c:pt idx="3">
                  <c:v>7.2083333333333348</c:v>
                </c:pt>
                <c:pt idx="5">
                  <c:v>10.591666666666665</c:v>
                </c:pt>
              </c:numCache>
            </c:numRef>
          </c:val>
          <c:extLst>
            <c:ext xmlns:c16="http://schemas.microsoft.com/office/drawing/2014/chart" uri="{C3380CC4-5D6E-409C-BE32-E72D297353CC}">
              <c16:uniqueId val="{00000003-ABF7-4C78-BAC4-0D2D14551A88}"/>
            </c:ext>
          </c:extLst>
        </c:ser>
        <c:dLbls>
          <c:dLblPos val="inEnd"/>
          <c:showLegendKey val="0"/>
          <c:showVal val="1"/>
          <c:showCatName val="0"/>
          <c:showSerName val="0"/>
          <c:showPercent val="0"/>
          <c:showBubbleSize val="0"/>
        </c:dLbls>
        <c:gapWidth val="150"/>
        <c:overlap val="100"/>
        <c:axId val="1038428320"/>
        <c:axId val="1038430240"/>
      </c:barChart>
      <c:catAx>
        <c:axId val="1038428320"/>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j-lt"/>
                <a:ea typeface="+mn-ea"/>
                <a:cs typeface="+mn-cs"/>
              </a:defRPr>
            </a:pPr>
            <a:endParaRPr lang="es-ES"/>
          </a:p>
        </c:txPr>
        <c:crossAx val="1038430240"/>
        <c:crosses val="autoZero"/>
        <c:auto val="1"/>
        <c:lblAlgn val="ctr"/>
        <c:lblOffset val="100"/>
        <c:noMultiLvlLbl val="0"/>
      </c:catAx>
      <c:valAx>
        <c:axId val="1038430240"/>
        <c:scaling>
          <c:orientation val="minMax"/>
        </c:scaling>
        <c:delete val="1"/>
        <c:axPos val="b"/>
        <c:numFmt formatCode="0.0" sourceLinked="1"/>
        <c:majorTickMark val="none"/>
        <c:minorTickMark val="none"/>
        <c:tickLblPos val="nextTo"/>
        <c:crossAx val="103842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025842035545127"/>
          <c:y val="7.4857157860724957E-2"/>
          <c:w val="0.70912907760389787"/>
          <c:h val="0.78988876451395629"/>
        </c:manualLayout>
      </c:layout>
      <c:barChart>
        <c:barDir val="bar"/>
        <c:grouping val="stacked"/>
        <c:varyColors val="0"/>
        <c:ser>
          <c:idx val="1"/>
          <c:order val="0"/>
          <c:tx>
            <c:strRef>
              <c:f>Durada!$J$90</c:f>
              <c:strCache>
                <c:ptCount val="1"/>
                <c:pt idx="0">
                  <c:v>months</c:v>
                </c:pt>
              </c:strCache>
            </c:strRef>
          </c:tx>
          <c:spPr>
            <a:solidFill>
              <a:srgbClr val="008000"/>
            </a:solidFill>
            <a:ln>
              <a:noFill/>
            </a:ln>
            <a:effectLst/>
          </c:spPr>
          <c:invertIfNegative val="0"/>
          <c:dLbls>
            <c:dLbl>
              <c:idx val="1"/>
              <c:layout>
                <c:manualLayout>
                  <c:x val="0.34986846704116026"/>
                  <c:y val="6.230529595015576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0F-4A3D-9422-D65F81B0A21A}"/>
                </c:ext>
              </c:extLst>
            </c:dLbl>
            <c:dLbl>
              <c:idx val="3"/>
              <c:layout>
                <c:manualLayout>
                  <c:x val="0.20284930008748897"/>
                  <c:y val="-4.243778136006664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0F-4A3D-9422-D65F81B0A21A}"/>
                </c:ext>
              </c:extLst>
            </c:dLbl>
            <c:dLbl>
              <c:idx val="5"/>
              <c:layout>
                <c:manualLayout>
                  <c:x val="0.36834295713035881"/>
                  <c:y val="0"/>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080F-4A3D-9422-D65F81B0A2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Durada!$G$91:$H$96</c:f>
              <c:multiLvlStrCache>
                <c:ptCount val="6"/>
                <c:lvl>
                  <c:pt idx="1">
                    <c:v>trimmed mean</c:v>
                  </c:pt>
                  <c:pt idx="3">
                    <c:v>trimmed mean</c:v>
                  </c:pt>
                  <c:pt idx="5">
                    <c:v>trimmed mean</c:v>
                  </c:pt>
                </c:lvl>
                <c:lvl>
                  <c:pt idx="1">
                    <c:v>Pre-arbitration</c:v>
                  </c:pt>
                  <c:pt idx="3">
                    <c:v>Arbitration</c:v>
                  </c:pt>
                  <c:pt idx="5">
                    <c:v>Total</c:v>
                  </c:pt>
                </c:lvl>
              </c:multiLvlStrCache>
            </c:multiLvlStrRef>
          </c:cat>
          <c:val>
            <c:numRef>
              <c:f>Durada!$J$91:$J$96</c:f>
              <c:numCache>
                <c:formatCode>#,##0.0</c:formatCode>
                <c:ptCount val="6"/>
                <c:pt idx="1">
                  <c:v>5.4555555555555557</c:v>
                </c:pt>
                <c:pt idx="3">
                  <c:v>5.3777777777777764</c:v>
                </c:pt>
                <c:pt idx="5">
                  <c:v>10.588888888888889</c:v>
                </c:pt>
              </c:numCache>
            </c:numRef>
          </c:val>
          <c:extLst>
            <c:ext xmlns:c16="http://schemas.microsoft.com/office/drawing/2014/chart" uri="{C3380CC4-5D6E-409C-BE32-E72D297353CC}">
              <c16:uniqueId val="{00000003-080F-4A3D-9422-D65F81B0A21A}"/>
            </c:ext>
          </c:extLst>
        </c:ser>
        <c:dLbls>
          <c:dLblPos val="inEnd"/>
          <c:showLegendKey val="0"/>
          <c:showVal val="1"/>
          <c:showCatName val="0"/>
          <c:showSerName val="0"/>
          <c:showPercent val="0"/>
          <c:showBubbleSize val="0"/>
        </c:dLbls>
        <c:gapWidth val="150"/>
        <c:overlap val="100"/>
        <c:axId val="963843632"/>
        <c:axId val="963842672"/>
      </c:barChart>
      <c:catAx>
        <c:axId val="963843632"/>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963842672"/>
        <c:crosses val="autoZero"/>
        <c:auto val="1"/>
        <c:lblAlgn val="ctr"/>
        <c:lblOffset val="100"/>
        <c:noMultiLvlLbl val="0"/>
      </c:catAx>
      <c:valAx>
        <c:axId val="963842672"/>
        <c:scaling>
          <c:orientation val="minMax"/>
        </c:scaling>
        <c:delete val="1"/>
        <c:axPos val="b"/>
        <c:numFmt formatCode="#,##0.0" sourceLinked="1"/>
        <c:majorTickMark val="none"/>
        <c:minorTickMark val="none"/>
        <c:tickLblPos val="nextTo"/>
        <c:crossAx val="96384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12556497530459"/>
          <c:y val="4.0261779504636164E-2"/>
          <c:w val="0.650675454705542"/>
          <c:h val="0.88935116734862296"/>
        </c:manualLayout>
      </c:layout>
      <c:doughnutChart>
        <c:varyColors val="1"/>
        <c:ser>
          <c:idx val="0"/>
          <c:order val="0"/>
          <c:spPr>
            <a:solidFill>
              <a:srgbClr val="339933"/>
            </a:solidFill>
          </c:spPr>
          <c:dPt>
            <c:idx val="0"/>
            <c:bubble3D val="0"/>
            <c:spPr>
              <a:solidFill>
                <a:srgbClr val="339933"/>
              </a:solidFill>
              <a:ln w="19050">
                <a:solidFill>
                  <a:schemeClr val="lt1"/>
                </a:solidFill>
              </a:ln>
              <a:effectLst/>
            </c:spPr>
            <c:extLst>
              <c:ext xmlns:c16="http://schemas.microsoft.com/office/drawing/2014/chart" uri="{C3380CC4-5D6E-409C-BE32-E72D297353CC}">
                <c16:uniqueId val="{00000001-507D-41F5-B186-A34985F24EC1}"/>
              </c:ext>
            </c:extLst>
          </c:dPt>
          <c:dPt>
            <c:idx val="1"/>
            <c:bubble3D val="0"/>
            <c:spPr>
              <a:solidFill>
                <a:srgbClr val="00CC99"/>
              </a:solidFill>
              <a:ln w="19050">
                <a:solidFill>
                  <a:schemeClr val="lt1"/>
                </a:solidFill>
              </a:ln>
              <a:effectLst/>
            </c:spPr>
            <c:extLst>
              <c:ext xmlns:c16="http://schemas.microsoft.com/office/drawing/2014/chart" uri="{C3380CC4-5D6E-409C-BE32-E72D297353CC}">
                <c16:uniqueId val="{00000003-507D-41F5-B186-A34985F24EC1}"/>
              </c:ext>
            </c:extLst>
          </c:dPt>
          <c:dLbls>
            <c:dLbl>
              <c:idx val="0"/>
              <c:layout>
                <c:manualLayout>
                  <c:x val="0.24093884430580362"/>
                  <c:y val="2.3853568522275328E-3"/>
                </c:manualLayout>
              </c:layout>
              <c:tx>
                <c:rich>
                  <a:bodyPr/>
                  <a:lstStyle/>
                  <a:p>
                    <a:r>
                      <a:rPr lang="en-US" baseline="0"/>
                      <a:t>Law
</a:t>
                    </a:r>
                    <a:fld id="{47BA4CAB-05C1-4BD5-91C9-2A5C5094E3D7}"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07D-41F5-B186-A34985F24EC1}"/>
                </c:ext>
              </c:extLst>
            </c:dLbl>
            <c:dLbl>
              <c:idx val="1"/>
              <c:layout>
                <c:manualLayout>
                  <c:x val="-0.23944789648897721"/>
                  <c:y val="-1.687950578230123E-2"/>
                </c:manualLayout>
              </c:layout>
              <c:tx>
                <c:rich>
                  <a:bodyPr/>
                  <a:lstStyle/>
                  <a:p>
                    <a:r>
                      <a:rPr lang="en-US" baseline="0"/>
                      <a:t>Equity
</a:t>
                    </a:r>
                    <a:fld id="{370ED1FA-B81B-49EC-9AB2-701E37C4B5A4}"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07D-41F5-B186-A34985F24EC1}"/>
                </c:ext>
              </c:extLst>
            </c:dLbl>
            <c:spPr>
              <a:solidFill>
                <a:sysClr val="window" lastClr="FFFFFF"/>
              </a:solidFill>
              <a:ln>
                <a:solidFill>
                  <a:srgbClr val="E8E8E8">
                    <a:lumMod val="90000"/>
                  </a:srgb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'Tipus arbitratge'!$C$5:$C$6</c:f>
              <c:strCache>
                <c:ptCount val="2"/>
                <c:pt idx="0">
                  <c:v>Dret</c:v>
                </c:pt>
                <c:pt idx="1">
                  <c:v>Equitat</c:v>
                </c:pt>
              </c:strCache>
            </c:strRef>
          </c:cat>
          <c:val>
            <c:numRef>
              <c:f>'Tipus arbitratge'!$D$5:$D$6</c:f>
              <c:numCache>
                <c:formatCode>General</c:formatCode>
                <c:ptCount val="2"/>
                <c:pt idx="0">
                  <c:v>27</c:v>
                </c:pt>
                <c:pt idx="1">
                  <c:v>4</c:v>
                </c:pt>
              </c:numCache>
            </c:numRef>
          </c:val>
          <c:extLst>
            <c:ext xmlns:c16="http://schemas.microsoft.com/office/drawing/2014/chart" uri="{C3380CC4-5D6E-409C-BE32-E72D297353CC}">
              <c16:uniqueId val="{00000004-507D-41F5-B186-A34985F24EC1}"/>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98789787823478"/>
          <c:y val="0.18957510391147805"/>
          <c:w val="0.6154895260733918"/>
          <c:h val="0.70659086386764836"/>
        </c:manualLayout>
      </c:layout>
      <c:doughnutChart>
        <c:varyColors val="1"/>
        <c:ser>
          <c:idx val="0"/>
          <c:order val="0"/>
          <c:spPr>
            <a:solidFill>
              <a:srgbClr val="339933"/>
            </a:solidFill>
          </c:spPr>
          <c:dPt>
            <c:idx val="0"/>
            <c:bubble3D val="0"/>
            <c:spPr>
              <a:solidFill>
                <a:srgbClr val="339933"/>
              </a:solidFill>
              <a:ln w="19050">
                <a:solidFill>
                  <a:schemeClr val="lt1"/>
                </a:solidFill>
              </a:ln>
              <a:effectLst/>
            </c:spPr>
            <c:extLst>
              <c:ext xmlns:c16="http://schemas.microsoft.com/office/drawing/2014/chart" uri="{C3380CC4-5D6E-409C-BE32-E72D297353CC}">
                <c16:uniqueId val="{00000001-513B-48BA-9430-7C26096A3257}"/>
              </c:ext>
            </c:extLst>
          </c:dPt>
          <c:dPt>
            <c:idx val="1"/>
            <c:bubble3D val="0"/>
            <c:spPr>
              <a:solidFill>
                <a:srgbClr val="CCFF33"/>
              </a:solidFill>
              <a:ln w="19050">
                <a:solidFill>
                  <a:schemeClr val="lt1"/>
                </a:solidFill>
              </a:ln>
              <a:effectLst/>
            </c:spPr>
            <c:extLst>
              <c:ext xmlns:c16="http://schemas.microsoft.com/office/drawing/2014/chart" uri="{C3380CC4-5D6E-409C-BE32-E72D297353CC}">
                <c16:uniqueId val="{00000003-513B-48BA-9430-7C26096A3257}"/>
              </c:ext>
            </c:extLst>
          </c:dPt>
          <c:dPt>
            <c:idx val="2"/>
            <c:bubble3D val="0"/>
            <c:spPr>
              <a:solidFill>
                <a:srgbClr val="99CC00"/>
              </a:solidFill>
              <a:ln w="19050">
                <a:solidFill>
                  <a:schemeClr val="lt1"/>
                </a:solidFill>
              </a:ln>
              <a:effectLst/>
            </c:spPr>
            <c:extLst>
              <c:ext xmlns:c16="http://schemas.microsoft.com/office/drawing/2014/chart" uri="{C3380CC4-5D6E-409C-BE32-E72D297353CC}">
                <c16:uniqueId val="{00000005-513B-48BA-9430-7C26096A3257}"/>
              </c:ext>
            </c:extLst>
          </c:dPt>
          <c:dPt>
            <c:idx val="3"/>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513B-48BA-9430-7C26096A3257}"/>
              </c:ext>
            </c:extLst>
          </c:dPt>
          <c:dLbls>
            <c:dLbl>
              <c:idx val="0"/>
              <c:layout>
                <c:manualLayout>
                  <c:x val="0.14462865052531257"/>
                  <c:y val="0.13326289909963787"/>
                </c:manualLayout>
              </c:layout>
              <c:tx>
                <c:rich>
                  <a:bodyPr/>
                  <a:lstStyle/>
                  <a:p>
                    <a:r>
                      <a:rPr lang="en-US" baseline="0"/>
                      <a:t>Spanish
</a:t>
                    </a:r>
                    <a:fld id="{6D7E4974-EFE6-4165-80F6-BABB26C54C7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13B-48BA-9430-7C26096A3257}"/>
                </c:ext>
              </c:extLst>
            </c:dLbl>
            <c:dLbl>
              <c:idx val="1"/>
              <c:layout>
                <c:manualLayout>
                  <c:x val="-0.14680584235327931"/>
                  <c:y val="0.20528588989667432"/>
                </c:manualLayout>
              </c:layout>
              <c:tx>
                <c:rich>
                  <a:bodyPr/>
                  <a:lstStyle/>
                  <a:p>
                    <a:r>
                      <a:rPr lang="en-US"/>
                      <a:t>Catalan</a:t>
                    </a:r>
                    <a:r>
                      <a:rPr lang="en-US" baseline="0"/>
                      <a:t>
</a:t>
                    </a:r>
                    <a:fld id="{9EC9054F-6CF4-4D2B-946E-B357965DDA0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13B-48BA-9430-7C26096A3257}"/>
                </c:ext>
              </c:extLst>
            </c:dLbl>
            <c:dLbl>
              <c:idx val="2"/>
              <c:layout>
                <c:manualLayout>
                  <c:x val="-0.14916159065022533"/>
                  <c:y val="-0.16093768062385705"/>
                </c:manualLayout>
              </c:layout>
              <c:tx>
                <c:rich>
                  <a:bodyPr/>
                  <a:lstStyle/>
                  <a:p>
                    <a:r>
                      <a:rPr lang="en-US"/>
                      <a:t>Spanish and Catalan indistinguishably</a:t>
                    </a:r>
                    <a:r>
                      <a:rPr lang="en-US" baseline="0"/>
                      <a:t>
</a:t>
                    </a:r>
                    <a:fld id="{5AF3C5FF-6A45-44E2-B6D5-270A6E1BCACC}"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3005695042836627"/>
                      <c:h val="0.25189497522196008"/>
                    </c:manualLayout>
                  </c15:layout>
                  <c15:dlblFieldTable/>
                  <c15:showDataLabelsRange val="0"/>
                </c:ext>
                <c:ext xmlns:c16="http://schemas.microsoft.com/office/drawing/2014/chart" uri="{C3380CC4-5D6E-409C-BE32-E72D297353CC}">
                  <c16:uniqueId val="{00000005-513B-48BA-9430-7C26096A3257}"/>
                </c:ext>
              </c:extLst>
            </c:dLbl>
            <c:dLbl>
              <c:idx val="3"/>
              <c:layout>
                <c:manualLayout>
                  <c:x val="0.32608263589692799"/>
                  <c:y val="-8.940978045614334E-2"/>
                </c:manualLayout>
              </c:layout>
              <c:tx>
                <c:rich>
                  <a:bodyPr/>
                  <a:lstStyle/>
                  <a:p>
                    <a:r>
                      <a:rPr lang="en-US"/>
                      <a:t>Spanish and English</a:t>
                    </a:r>
                    <a:r>
                      <a:rPr lang="en-US" baseline="0"/>
                      <a:t>
</a:t>
                    </a:r>
                    <a:fld id="{4A5CE70E-2FE3-4227-BE3F-8DC141B5CFC8}"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13B-48BA-9430-7C26096A3257}"/>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'Idioma arbitratge'!$C$6:$C$9</c:f>
              <c:strCache>
                <c:ptCount val="4"/>
                <c:pt idx="0">
                  <c:v>Castellà</c:v>
                </c:pt>
                <c:pt idx="1">
                  <c:v>Català</c:v>
                </c:pt>
                <c:pt idx="2">
                  <c:v>Castellà i català indistintament</c:v>
                </c:pt>
                <c:pt idx="3">
                  <c:v>Castellà i anglès</c:v>
                </c:pt>
              </c:strCache>
            </c:strRef>
          </c:cat>
          <c:val>
            <c:numRef>
              <c:f>'Idioma arbitratge'!$D$6:$D$9</c:f>
              <c:numCache>
                <c:formatCode>General</c:formatCode>
                <c:ptCount val="4"/>
                <c:pt idx="0">
                  <c:v>21</c:v>
                </c:pt>
                <c:pt idx="1">
                  <c:v>2</c:v>
                </c:pt>
                <c:pt idx="2">
                  <c:v>7</c:v>
                </c:pt>
                <c:pt idx="3">
                  <c:v>1</c:v>
                </c:pt>
              </c:numCache>
            </c:numRef>
          </c:val>
          <c:extLst>
            <c:ext xmlns:c16="http://schemas.microsoft.com/office/drawing/2014/chart" uri="{C3380CC4-5D6E-409C-BE32-E72D297353CC}">
              <c16:uniqueId val="{00000008-513B-48BA-9430-7C26096A3257}"/>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19627985298883"/>
          <c:y val="6.8505958342138393E-2"/>
          <c:w val="0.59019334683059077"/>
          <c:h val="0.78315971297053433"/>
        </c:manualLayout>
      </c:layout>
      <c:doughnutChart>
        <c:varyColors val="1"/>
        <c:ser>
          <c:idx val="0"/>
          <c:order val="0"/>
          <c:spPr>
            <a:solidFill>
              <a:schemeClr val="accent6">
                <a:lumMod val="75000"/>
              </a:schemeClr>
            </a:solidFill>
          </c:spPr>
          <c:dPt>
            <c:idx val="0"/>
            <c:bubble3D val="0"/>
            <c:spPr>
              <a:solidFill>
                <a:srgbClr val="339966"/>
              </a:solidFill>
              <a:ln w="19050">
                <a:solidFill>
                  <a:schemeClr val="lt1"/>
                </a:solidFill>
              </a:ln>
              <a:effectLst/>
            </c:spPr>
            <c:extLst>
              <c:ext xmlns:c16="http://schemas.microsoft.com/office/drawing/2014/chart" uri="{C3380CC4-5D6E-409C-BE32-E72D297353CC}">
                <c16:uniqueId val="{00000001-FD73-4D32-8D23-C9D77BBB4D91}"/>
              </c:ext>
            </c:extLst>
          </c:dPt>
          <c:dPt>
            <c:idx val="1"/>
            <c:bubble3D val="0"/>
            <c:spPr>
              <a:solidFill>
                <a:srgbClr val="99FF66"/>
              </a:solidFill>
              <a:ln w="19050">
                <a:solidFill>
                  <a:schemeClr val="lt1"/>
                </a:solidFill>
              </a:ln>
              <a:effectLst/>
            </c:spPr>
            <c:extLst>
              <c:ext xmlns:c16="http://schemas.microsoft.com/office/drawing/2014/chart" uri="{C3380CC4-5D6E-409C-BE32-E72D297353CC}">
                <c16:uniqueId val="{00000003-FD73-4D32-8D23-C9D77BBB4D91}"/>
              </c:ext>
            </c:extLst>
          </c:dPt>
          <c:dLbls>
            <c:dLbl>
              <c:idx val="0"/>
              <c:layout>
                <c:manualLayout>
                  <c:x val="0.23172649496899403"/>
                  <c:y val="7.1723187460377175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n-US"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     </a:t>
                    </a:r>
                    <a:fld id="{F9179887-F912-4B5A-84B1-2EFD7B8F1DE3}" type="PERCENTAGE">
                      <a:rPr lang="en-US"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pPr>
                        <a:defRPr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t>[PORCENTAJE]</a:t>
                    </a:fld>
                    <a:endParaRPr lang="en-US"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endParaRPr>
                  </a:p>
                </c:rich>
              </c:tx>
              <c:spPr>
                <a:xfrm>
                  <a:off x="4266112" y="2364458"/>
                  <a:ext cx="960451" cy="650587"/>
                </a:xfrm>
                <a:solidFill>
                  <a:sysClr val="window" lastClr="FFFFFF"/>
                </a:solid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EllipseCallout">
                      <a:avLst>
                        <a:gd name="adj1" fmla="val -12187"/>
                        <a:gd name="adj2" fmla="val 30664"/>
                      </a:avLst>
                    </a:prstGeom>
                    <a:noFill/>
                    <a:ln>
                      <a:noFill/>
                    </a:ln>
                  </c15:spPr>
                  <c15:layout>
                    <c:manualLayout>
                      <c:w val="0.20250456294088812"/>
                      <c:h val="0.16974797636876487"/>
                    </c:manualLayout>
                  </c15:layout>
                  <c15:dlblFieldTable/>
                  <c15:showDataLabelsRange val="0"/>
                </c:ext>
                <c:ext xmlns:c16="http://schemas.microsoft.com/office/drawing/2014/chart" uri="{C3380CC4-5D6E-409C-BE32-E72D297353CC}">
                  <c16:uniqueId val="{00000001-FD73-4D32-8D23-C9D77BBB4D91}"/>
                </c:ext>
              </c:extLst>
            </c:dLbl>
            <c:dLbl>
              <c:idx val="1"/>
              <c:layout>
                <c:manualLayout>
                  <c:x val="-0.2672044565857839"/>
                  <c:y val="0.22213675922088685"/>
                </c:manualLayout>
              </c:layout>
              <c:spPr>
                <a:xfrm>
                  <a:off x="674531" y="493970"/>
                  <a:ext cx="978691" cy="530951"/>
                </a:xfrm>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EllipseCallout">
                      <a:avLst>
                        <a:gd name="adj1" fmla="val 33550"/>
                        <a:gd name="adj2" fmla="val -6769"/>
                      </a:avLst>
                    </a:prstGeom>
                    <a:noFill/>
                    <a:ln>
                      <a:noFill/>
                    </a:ln>
                  </c15:spPr>
                  <c15:layout>
                    <c:manualLayout>
                      <c:w val="0.12670453295796952"/>
                      <c:h val="0.13303069390164859"/>
                    </c:manualLayout>
                  </c15:layout>
                </c:ext>
                <c:ext xmlns:c16="http://schemas.microsoft.com/office/drawing/2014/chart" uri="{C3380CC4-5D6E-409C-BE32-E72D297353CC}">
                  <c16:uniqueId val="{00000003-FD73-4D32-8D23-C9D77BBB4D91}"/>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numRef>
              <c:f>Gènere!$D$18:$D$19</c:f>
              <c:numCache>
                <c:formatCode>General</c:formatCode>
                <c:ptCount val="2"/>
              </c:numCache>
            </c:numRef>
          </c:cat>
          <c:val>
            <c:numRef>
              <c:f>Gènere!$E$18:$E$19</c:f>
              <c:numCache>
                <c:formatCode>General</c:formatCode>
                <c:ptCount val="2"/>
                <c:pt idx="0">
                  <c:v>12</c:v>
                </c:pt>
                <c:pt idx="1">
                  <c:v>2</c:v>
                </c:pt>
              </c:numCache>
            </c:numRef>
          </c:val>
          <c:extLst>
            <c:ext xmlns:c16="http://schemas.microsoft.com/office/drawing/2014/chart" uri="{C3380CC4-5D6E-409C-BE32-E72D297353CC}">
              <c16:uniqueId val="{00000004-FD73-4D32-8D23-C9D77BBB4D91}"/>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78474267480052"/>
          <c:y val="0.10340033909994829"/>
          <c:w val="0.69716078021367656"/>
          <c:h val="0.80481996091729413"/>
        </c:manualLayout>
      </c:layout>
      <c:doughnutChart>
        <c:varyColors val="1"/>
        <c:ser>
          <c:idx val="0"/>
          <c:order val="0"/>
          <c:spPr>
            <a:solidFill>
              <a:srgbClr val="339966"/>
            </a:solidFill>
          </c:spPr>
          <c:dPt>
            <c:idx val="0"/>
            <c:bubble3D val="0"/>
            <c:spPr>
              <a:solidFill>
                <a:srgbClr val="339966"/>
              </a:solidFill>
              <a:ln w="19050">
                <a:solidFill>
                  <a:schemeClr val="lt1"/>
                </a:solidFill>
              </a:ln>
              <a:effectLst/>
            </c:spPr>
            <c:extLst>
              <c:ext xmlns:c16="http://schemas.microsoft.com/office/drawing/2014/chart" uri="{C3380CC4-5D6E-409C-BE32-E72D297353CC}">
                <c16:uniqueId val="{00000001-F251-43A6-9493-4BF7B661FDF9}"/>
              </c:ext>
            </c:extLst>
          </c:dPt>
          <c:dPt>
            <c:idx val="1"/>
            <c:bubble3D val="0"/>
            <c:spPr>
              <a:solidFill>
                <a:srgbClr val="99CC00"/>
              </a:solidFill>
              <a:ln w="19050">
                <a:solidFill>
                  <a:schemeClr val="lt1"/>
                </a:solidFill>
              </a:ln>
              <a:effectLst/>
            </c:spPr>
            <c:extLst>
              <c:ext xmlns:c16="http://schemas.microsoft.com/office/drawing/2014/chart" uri="{C3380CC4-5D6E-409C-BE32-E72D297353CC}">
                <c16:uniqueId val="{00000003-F251-43A6-9493-4BF7B661FDF9}"/>
              </c:ext>
            </c:extLst>
          </c:dPt>
          <c:dLbls>
            <c:dLbl>
              <c:idx val="0"/>
              <c:layout>
                <c:manualLayout>
                  <c:x val="0.19112221453904665"/>
                  <c:y val="9.2715231788079305E-2"/>
                </c:manualLayout>
              </c:layout>
              <c:tx>
                <c:rich>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n-US"/>
                      <a:t>Domestic</a:t>
                    </a:r>
                    <a:r>
                      <a:rPr lang="en-US" baseline="0"/>
                      <a:t>
</a:t>
                    </a:r>
                    <a:fld id="{61645DD6-CEC3-40DB-BC3E-7CD0CB48B655}" type="PERCENTAGE">
                      <a:rPr lang="en-US" baseline="0"/>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t>[PORCENTAJE]</a:t>
                    </a:fld>
                    <a:endParaRPr lang="en-US" baseline="0"/>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6470"/>
                        <a:gd name="adj2" fmla="val -95186"/>
                      </a:avLst>
                    </a:prstGeom>
                  </c15:spPr>
                  <c15:dlblFieldTable/>
                  <c15:showDataLabelsRange val="0"/>
                </c:ext>
                <c:ext xmlns:c16="http://schemas.microsoft.com/office/drawing/2014/chart" uri="{C3380CC4-5D6E-409C-BE32-E72D297353CC}">
                  <c16:uniqueId val="{00000001-F251-43A6-9493-4BF7B661FDF9}"/>
                </c:ext>
              </c:extLst>
            </c:dLbl>
            <c:dLbl>
              <c:idx val="1"/>
              <c:layout>
                <c:manualLayout>
                  <c:x val="-0.14158541385646295"/>
                  <c:y val="-0.13492891114431865"/>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n-US"/>
                      <a:t>International</a:t>
                    </a:r>
                    <a:r>
                      <a:rPr lang="en-US" baseline="0"/>
                      <a:t>
</a:t>
                    </a:r>
                    <a:fld id="{2531F1DA-A8C7-4C07-9A36-663DEF810AAC}" type="PERCENTAGE">
                      <a:rPr lang="en-US" baseline="0"/>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t>[PORCENTAJE]</a:t>
                    </a:fld>
                    <a:endParaRPr lang="en-US" baseline="0"/>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3400"/>
                        <a:gd name="adj2" fmla="val 88245"/>
                      </a:avLst>
                    </a:prstGeom>
                  </c15:spPr>
                  <c15:layout>
                    <c:manualLayout>
                      <c:w val="0.23776384798373232"/>
                      <c:h val="0.18387838381516178"/>
                    </c:manualLayout>
                  </c15:layout>
                  <c15:dlblFieldTable/>
                  <c15:showDataLabelsRange val="0"/>
                </c:ext>
                <c:ext xmlns:c16="http://schemas.microsoft.com/office/drawing/2014/chart" uri="{C3380CC4-5D6E-409C-BE32-E72D297353CC}">
                  <c16:uniqueId val="{00000003-F251-43A6-9493-4BF7B661FDF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'Domèstic-internacional'!$C$4:$C$5</c:f>
              <c:strCache>
                <c:ptCount val="2"/>
                <c:pt idx="0">
                  <c:v>Domèstic</c:v>
                </c:pt>
                <c:pt idx="1">
                  <c:v>Internacional</c:v>
                </c:pt>
              </c:strCache>
            </c:strRef>
          </c:cat>
          <c:val>
            <c:numRef>
              <c:f>'Domèstic-internacional'!$D$4:$D$5</c:f>
              <c:numCache>
                <c:formatCode>General</c:formatCode>
                <c:ptCount val="2"/>
                <c:pt idx="0">
                  <c:v>23</c:v>
                </c:pt>
                <c:pt idx="1">
                  <c:v>8</c:v>
                </c:pt>
              </c:numCache>
            </c:numRef>
          </c:val>
          <c:extLst>
            <c:ext xmlns:c16="http://schemas.microsoft.com/office/drawing/2014/chart" uri="{C3380CC4-5D6E-409C-BE32-E72D297353CC}">
              <c16:uniqueId val="{00000004-F251-43A6-9493-4BF7B661FDF9}"/>
            </c:ext>
          </c:extLst>
        </c:ser>
        <c:dLbls>
          <c:showLegendKey val="0"/>
          <c:showVal val="0"/>
          <c:showCatName val="0"/>
          <c:showSerName val="0"/>
          <c:showPercent val="0"/>
          <c:showBubbleSize val="0"/>
          <c:showLeaderLines val="0"/>
        </c:dLbls>
        <c:firstSliceAng val="0"/>
        <c:holeSize val="75"/>
        <c:extLst>
          <c:ext xmlns:c15="http://schemas.microsoft.com/office/drawing/2012/chart" uri="{02D57815-91ED-43cb-92C2-25804820EDAC}">
            <c15:filteredPieSeries>
              <c15: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6-F251-43A6-9493-4BF7B661FD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F251-43A6-9493-4BF7B661FDF9}"/>
                    </c:ext>
                  </c:extLst>
                </c:dPt>
                <c:cat>
                  <c:strRef>
                    <c:extLst>
                      <c:ext uri="{02D57815-91ED-43cb-92C2-25804820EDAC}">
                        <c15:formulaRef>
                          <c15:sqref>'Domèstic-internacional'!$C$4:$C$5</c15:sqref>
                        </c15:formulaRef>
                      </c:ext>
                    </c:extLst>
                    <c:strCache>
                      <c:ptCount val="2"/>
                      <c:pt idx="0">
                        <c:v>Domèstic</c:v>
                      </c:pt>
                      <c:pt idx="1">
                        <c:v>Internacional</c:v>
                      </c:pt>
                    </c:strCache>
                  </c:strRef>
                </c:cat>
                <c:val>
                  <c:numRef>
                    <c:extLst>
                      <c:ext uri="{02D57815-91ED-43cb-92C2-25804820EDAC}">
                        <c15:formulaRef>
                          <c15:sqref>'Domèstic-internacional'!$E$4:$E$5</c15:sqref>
                        </c15:formulaRef>
                      </c:ext>
                    </c:extLst>
                    <c:numCache>
                      <c:formatCode>General</c:formatCode>
                      <c:ptCount val="2"/>
                    </c:numCache>
                  </c:numRef>
                </c:val>
                <c:extLst>
                  <c:ext xmlns:c16="http://schemas.microsoft.com/office/drawing/2014/chart" uri="{C3380CC4-5D6E-409C-BE32-E72D297353CC}">
                    <c16:uniqueId val="{00000009-F251-43A6-9493-4BF7B661FDF9}"/>
                  </c:ext>
                </c:extLst>
              </c15:ser>
            </c15:filteredPieSeries>
          </c:ext>
        </c:extLst>
      </c:doughnutChart>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22501485719751999"/>
          <c:y val="0.10488827194473031"/>
          <c:w val="0.5681932810790451"/>
          <c:h val="0.75816671852188688"/>
        </c:manualLayout>
      </c:layout>
      <c:doughnutChart>
        <c:varyColors val="1"/>
        <c:ser>
          <c:idx val="0"/>
          <c:order val="0"/>
          <c:tx>
            <c:strRef>
              <c:f>'Compliment laude'!$E$16</c:f>
              <c:strCache>
                <c:ptCount val="1"/>
              </c:strCache>
            </c:strRef>
          </c:tx>
          <c:dPt>
            <c:idx val="0"/>
            <c:bubble3D val="0"/>
            <c:spPr>
              <a:solidFill>
                <a:srgbClr val="339933"/>
              </a:solidFill>
              <a:ln w="19050">
                <a:solidFill>
                  <a:schemeClr val="lt1"/>
                </a:solidFill>
              </a:ln>
              <a:effectLst/>
            </c:spPr>
            <c:extLst>
              <c:ext xmlns:c16="http://schemas.microsoft.com/office/drawing/2014/chart" uri="{C3380CC4-5D6E-409C-BE32-E72D297353CC}">
                <c16:uniqueId val="{00000001-1FFE-4B0A-A461-37F2E039BA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FE-4B0A-A461-37F2E039BA6F}"/>
              </c:ext>
            </c:extLst>
          </c:dPt>
          <c:dPt>
            <c:idx val="2"/>
            <c:bubble3D val="0"/>
            <c:spPr>
              <a:solidFill>
                <a:srgbClr val="00CC99"/>
              </a:solidFill>
              <a:ln w="19050">
                <a:solidFill>
                  <a:schemeClr val="lt1"/>
                </a:solidFill>
              </a:ln>
              <a:effectLst/>
            </c:spPr>
            <c:extLst>
              <c:ext xmlns:c16="http://schemas.microsoft.com/office/drawing/2014/chart" uri="{C3380CC4-5D6E-409C-BE32-E72D297353CC}">
                <c16:uniqueId val="{00000005-1FFE-4B0A-A461-37F2E039BA6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FFE-4B0A-A461-37F2E039BA6F}"/>
              </c:ext>
            </c:extLst>
          </c:dPt>
          <c:dPt>
            <c:idx val="4"/>
            <c:bubble3D val="0"/>
            <c:spPr>
              <a:solidFill>
                <a:srgbClr val="CCFF33"/>
              </a:solidFill>
              <a:ln w="19050">
                <a:solidFill>
                  <a:schemeClr val="lt1"/>
                </a:solidFill>
              </a:ln>
              <a:effectLst/>
            </c:spPr>
            <c:extLst>
              <c:ext xmlns:c16="http://schemas.microsoft.com/office/drawing/2014/chart" uri="{C3380CC4-5D6E-409C-BE32-E72D297353CC}">
                <c16:uniqueId val="{00000009-1FFE-4B0A-A461-37F2E039BA6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FFE-4B0A-A461-37F2E039BA6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FFE-4B0A-A461-37F2E039BA6F}"/>
              </c:ext>
            </c:extLst>
          </c:dPt>
          <c:dLbls>
            <c:dLbl>
              <c:idx val="0"/>
              <c:layout>
                <c:manualLayout>
                  <c:x val="0.12458402836319708"/>
                  <c:y val="0.28071352783029779"/>
                </c:manualLayout>
              </c:layout>
              <c:tx>
                <c:rich>
                  <a:bodyPr/>
                  <a:lstStyle/>
                  <a:p>
                    <a:r>
                      <a:rPr lang="en-US"/>
                      <a:t>Voluntarily compliance</a:t>
                    </a:r>
                    <a:r>
                      <a:rPr lang="en-US" baseline="0"/>
                      <a:t> with the award
</a:t>
                    </a:r>
                    <a:fld id="{B519551C-2B47-4741-B61B-125568549A64}"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FFE-4B0A-A461-37F2E039BA6F}"/>
                </c:ext>
              </c:extLst>
            </c:dLbl>
            <c:dLbl>
              <c:idx val="2"/>
              <c:layout>
                <c:manualLayout>
                  <c:x val="-0.21797985878587564"/>
                  <c:y val="-3.0116188412987594E-2"/>
                </c:manualLayout>
              </c:layout>
              <c:tx>
                <c:rich>
                  <a:bodyPr/>
                  <a:lstStyle/>
                  <a:p>
                    <a:r>
                      <a:rPr lang="en-US"/>
                      <a:t>Award challenged before the</a:t>
                    </a:r>
                    <a:r>
                      <a:rPr lang="en-US" baseline="0"/>
                      <a:t> TSJ of Catalonia.
</a:t>
                    </a:r>
                    <a:fld id="{C7535B81-AEA9-4DEF-B029-366350C1AD90}"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FFE-4B0A-A461-37F2E039BA6F}"/>
                </c:ext>
              </c:extLst>
            </c:dLbl>
            <c:dLbl>
              <c:idx val="4"/>
              <c:layout>
                <c:manualLayout>
                  <c:x val="-0.18627369750793005"/>
                  <c:y val="-8.0309835767966756E-2"/>
                </c:manualLayout>
              </c:layout>
              <c:tx>
                <c:rich>
                  <a:bodyPr/>
                  <a:lstStyle/>
                  <a:p>
                    <a:r>
                      <a:rPr lang="en-US"/>
                      <a:t>Judicially executed </a:t>
                    </a:r>
                  </a:p>
                  <a:p>
                    <a:r>
                      <a:rPr lang="en-US"/>
                      <a:t>award</a:t>
                    </a:r>
                    <a:r>
                      <a:rPr lang="en-US" baseline="0"/>
                      <a:t>
</a:t>
                    </a:r>
                    <a:fld id="{13B6C012-83D4-48D2-98D2-0F6CCC3F674F}"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FFE-4B0A-A461-37F2E039BA6F}"/>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'Compliment laude'!$D$17:$D$23</c:f>
              <c:strCache>
                <c:ptCount val="7"/>
                <c:pt idx="0">
                  <c:v>Laude complert voluntariament</c:v>
                </c:pt>
                <c:pt idx="2">
                  <c:v>Laude impugnat davant TSJ Catalunya</c:v>
                </c:pt>
                <c:pt idx="4">
                  <c:v>Laude executat judicialment</c:v>
                </c:pt>
                <c:pt idx="6">
                  <c:v>Laude pendent de compliment</c:v>
                </c:pt>
              </c:strCache>
            </c:strRef>
          </c:cat>
          <c:val>
            <c:numRef>
              <c:f>'Compliment laude'!$E$17:$E$23</c:f>
              <c:numCache>
                <c:formatCode>General</c:formatCode>
                <c:ptCount val="7"/>
                <c:pt idx="0">
                  <c:v>6</c:v>
                </c:pt>
                <c:pt idx="2">
                  <c:v>2</c:v>
                </c:pt>
                <c:pt idx="4">
                  <c:v>3</c:v>
                </c:pt>
              </c:numCache>
            </c:numRef>
          </c:val>
          <c:extLst>
            <c:ext xmlns:c16="http://schemas.microsoft.com/office/drawing/2014/chart" uri="{C3380CC4-5D6E-409C-BE32-E72D297353CC}">
              <c16:uniqueId val="{0000000E-1FFE-4B0A-A461-37F2E039BA6F}"/>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43334714739605"/>
          <c:y val="3.2679730152917981E-2"/>
          <c:w val="0.86961538579607378"/>
          <c:h val="0.8623962064751669"/>
        </c:manualLayout>
      </c:layout>
      <c:barChart>
        <c:barDir val="col"/>
        <c:grouping val="clustered"/>
        <c:varyColors val="0"/>
        <c:ser>
          <c:idx val="0"/>
          <c:order val="0"/>
          <c:spPr>
            <a:solidFill>
              <a:srgbClr val="00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Quantia!$D$22:$D$29</c:f>
              <c:strCache>
                <c:ptCount val="8"/>
                <c:pt idx="0">
                  <c:v>Total amount</c:v>
                </c:pt>
                <c:pt idx="1">
                  <c:v>Average amount</c:v>
                </c:pt>
                <c:pt idx="2">
                  <c:v>Total amount without variations amount</c:v>
                </c:pt>
                <c:pt idx="3">
                  <c:v>Quantity variations</c:v>
                </c:pt>
                <c:pt idx="4">
                  <c:v>Minimum amount</c:v>
                </c:pt>
                <c:pt idx="5">
                  <c:v>Maximum amount</c:v>
                </c:pt>
                <c:pt idx="6">
                  <c:v>Average amount with no variations amount</c:v>
                </c:pt>
                <c:pt idx="7">
                  <c:v>Average amount with variations in amount</c:v>
                </c:pt>
              </c:strCache>
            </c:strRef>
          </c:cat>
          <c:val>
            <c:numRef>
              <c:f>Quantia!$E$22:$E$29</c:f>
              <c:numCache>
                <c:formatCode>#,##0.00\ "€";[Red]#,##0.00\ "€"</c:formatCode>
                <c:ptCount val="8"/>
                <c:pt idx="0">
                  <c:v>21975942.649999999</c:v>
                </c:pt>
                <c:pt idx="1">
                  <c:v>646351.25441176456</c:v>
                </c:pt>
                <c:pt idx="2">
                  <c:v>16835769</c:v>
                </c:pt>
                <c:pt idx="3">
                  <c:v>5140173.6500000004</c:v>
                </c:pt>
                <c:pt idx="4">
                  <c:v>2995.68</c:v>
                </c:pt>
                <c:pt idx="5">
                  <c:v>7398562.8099999996</c:v>
                </c:pt>
                <c:pt idx="6">
                  <c:v>543089.32258064521</c:v>
                </c:pt>
                <c:pt idx="7">
                  <c:v>646351.25441176468</c:v>
                </c:pt>
              </c:numCache>
            </c:numRef>
          </c:val>
          <c:extLst>
            <c:ext xmlns:c16="http://schemas.microsoft.com/office/drawing/2014/chart" uri="{C3380CC4-5D6E-409C-BE32-E72D297353CC}">
              <c16:uniqueId val="{00000000-F9B4-407C-9B23-8C88554C9FC7}"/>
            </c:ext>
          </c:extLst>
        </c:ser>
        <c:dLbls>
          <c:dLblPos val="outEnd"/>
          <c:showLegendKey val="0"/>
          <c:showVal val="1"/>
          <c:showCatName val="0"/>
          <c:showSerName val="0"/>
          <c:showPercent val="0"/>
          <c:showBubbleSize val="0"/>
        </c:dLbls>
        <c:gapWidth val="219"/>
        <c:overlap val="-27"/>
        <c:axId val="883831104"/>
        <c:axId val="883827264"/>
      </c:barChart>
      <c:catAx>
        <c:axId val="88383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j-lt"/>
                <a:ea typeface="+mn-ea"/>
                <a:cs typeface="+mn-cs"/>
              </a:defRPr>
            </a:pPr>
            <a:endParaRPr lang="es-ES"/>
          </a:p>
        </c:txPr>
        <c:crossAx val="883827264"/>
        <c:crosses val="autoZero"/>
        <c:auto val="1"/>
        <c:lblAlgn val="ctr"/>
        <c:lblOffset val="100"/>
        <c:noMultiLvlLbl val="0"/>
      </c:catAx>
      <c:valAx>
        <c:axId val="883827264"/>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88383110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1"/>
          <c:order val="0"/>
          <c:spPr>
            <a:solidFill>
              <a:srgbClr val="00B050"/>
            </a:solidFill>
            <a:ln>
              <a:noFill/>
            </a:ln>
            <a:effectLst/>
          </c:spPr>
          <c:invertIfNegative val="0"/>
          <c:dLbls>
            <c:dLbl>
              <c:idx val="0"/>
              <c:layout>
                <c:manualLayout>
                  <c:x val="3.4818222751474941E-2"/>
                  <c:y val="-1.283157406400501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5E-489F-AE7B-DE7F88E64C68}"/>
                </c:ext>
              </c:extLst>
            </c:dLbl>
            <c:dLbl>
              <c:idx val="1"/>
              <c:layout>
                <c:manualLayout>
                  <c:x val="0.10445466825442493"/>
                  <c:y val="-1.283157406400501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5E-489F-AE7B-DE7F88E64C68}"/>
                </c:ext>
              </c:extLst>
            </c:dLbl>
            <c:dLbl>
              <c:idx val="2"/>
              <c:layout>
                <c:manualLayout>
                  <c:x val="3.68663535015616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5E-489F-AE7B-DE7F88E64C68}"/>
                </c:ext>
              </c:extLst>
            </c:dLbl>
            <c:dLbl>
              <c:idx val="3"/>
              <c:layout>
                <c:manualLayout>
                  <c:x val="7.782896850329701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5E-489F-AE7B-DE7F88E64C68}"/>
                </c:ext>
              </c:extLst>
            </c:dLbl>
            <c:dLbl>
              <c:idx val="4"/>
              <c:layout>
                <c:manualLayout>
                  <c:x val="0.180235506007635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5E-489F-AE7B-DE7F88E64C68}"/>
                </c:ext>
              </c:extLst>
            </c:dLbl>
            <c:dLbl>
              <c:idx val="5"/>
              <c:layout>
                <c:manualLayout>
                  <c:x val="0.1618023292568543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5E-489F-AE7B-DE7F88E64C68}"/>
                </c:ext>
              </c:extLst>
            </c:dLbl>
            <c:dLbl>
              <c:idx val="6"/>
              <c:layout>
                <c:manualLayout>
                  <c:x val="0.2457756900104115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5E-489F-AE7B-DE7F88E64C68}"/>
                </c:ext>
              </c:extLst>
            </c:dLbl>
            <c:dLbl>
              <c:idx val="7"/>
              <c:layout>
                <c:manualLayout>
                  <c:x val="0.38300045026622476"/>
                  <c:y val="-3.207893516001253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5E-489F-AE7B-DE7F88E64C68}"/>
                </c:ext>
              </c:extLst>
            </c:dLbl>
            <c:dLbl>
              <c:idx val="8"/>
              <c:layout>
                <c:manualLayout>
                  <c:x val="7.57808377532102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5E-489F-AE7B-DE7F88E64C68}"/>
                </c:ext>
              </c:extLst>
            </c:dLbl>
            <c:dLbl>
              <c:idx val="9"/>
              <c:layout>
                <c:manualLayout>
                  <c:x val="0.17204298300728796"/>
                  <c:y val="-8.0197337900031341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25E-489F-AE7B-DE7F88E64C68}"/>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'Trams quantia'!$G$3:$G$12</c:f>
              <c:strCache>
                <c:ptCount val="10"/>
                <c:pt idx="0">
                  <c:v>Up to 2.000,00€</c:v>
                </c:pt>
                <c:pt idx="1">
                  <c:v>from 2.001,00€ to 12.000,00€</c:v>
                </c:pt>
                <c:pt idx="2">
                  <c:v>from 12.001,00€ to 16.000,00€</c:v>
                </c:pt>
                <c:pt idx="3">
                  <c:v>from 16.001,00€ to 20.000,00€</c:v>
                </c:pt>
                <c:pt idx="4">
                  <c:v>from 20.001,00€ to 45.000,00€</c:v>
                </c:pt>
                <c:pt idx="5">
                  <c:v>from 45.001,00€ to 90.000,00€</c:v>
                </c:pt>
                <c:pt idx="6">
                  <c:v>from 90.001,00€ to 180.000,00€</c:v>
                </c:pt>
                <c:pt idx="7">
                  <c:v>from 180.001,00€ to 600.000,00€</c:v>
                </c:pt>
                <c:pt idx="8">
                  <c:v>from 600.001,00€ to 1.500.000,00€</c:v>
                </c:pt>
                <c:pt idx="9">
                  <c:v>Greater than 1.500.000,00€</c:v>
                </c:pt>
              </c:strCache>
            </c:strRef>
          </c:cat>
          <c:val>
            <c:numRef>
              <c:f>'Trams quantia'!$I$3:$I$12</c:f>
              <c:numCache>
                <c:formatCode>0%</c:formatCode>
                <c:ptCount val="10"/>
                <c:pt idx="0">
                  <c:v>0</c:v>
                </c:pt>
                <c:pt idx="1">
                  <c:v>6.4516129032258063E-2</c:v>
                </c:pt>
                <c:pt idx="2">
                  <c:v>0</c:v>
                </c:pt>
                <c:pt idx="3">
                  <c:v>3.2258064516129031E-2</c:v>
                </c:pt>
                <c:pt idx="4">
                  <c:v>0.12903225806451613</c:v>
                </c:pt>
                <c:pt idx="5">
                  <c:v>9.6774193548387094E-2</c:v>
                </c:pt>
                <c:pt idx="6">
                  <c:v>0.19354838709677419</c:v>
                </c:pt>
                <c:pt idx="7">
                  <c:v>0.32258064516129031</c:v>
                </c:pt>
                <c:pt idx="8">
                  <c:v>3.2258064516129031E-2</c:v>
                </c:pt>
                <c:pt idx="9">
                  <c:v>0.12903225806451613</c:v>
                </c:pt>
              </c:numCache>
            </c:numRef>
          </c:val>
          <c:extLst>
            <c:ext xmlns:c16="http://schemas.microsoft.com/office/drawing/2014/chart" uri="{C3380CC4-5D6E-409C-BE32-E72D297353CC}">
              <c16:uniqueId val="{0000000A-225E-489F-AE7B-DE7F88E64C68}"/>
            </c:ext>
          </c:extLst>
        </c:ser>
        <c:dLbls>
          <c:showLegendKey val="0"/>
          <c:showVal val="0"/>
          <c:showCatName val="0"/>
          <c:showSerName val="0"/>
          <c:showPercent val="0"/>
          <c:showBubbleSize val="0"/>
        </c:dLbls>
        <c:gapWidth val="150"/>
        <c:overlap val="100"/>
        <c:axId val="348308288"/>
        <c:axId val="348309248"/>
      </c:barChart>
      <c:catAx>
        <c:axId val="3483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348309248"/>
        <c:crosses val="autoZero"/>
        <c:auto val="1"/>
        <c:lblAlgn val="ctr"/>
        <c:lblOffset val="100"/>
        <c:noMultiLvlLbl val="0"/>
      </c:catAx>
      <c:valAx>
        <c:axId val="348309248"/>
        <c:scaling>
          <c:orientation val="minMax"/>
        </c:scaling>
        <c:delete val="1"/>
        <c:axPos val="b"/>
        <c:numFmt formatCode="0%" sourceLinked="1"/>
        <c:majorTickMark val="none"/>
        <c:minorTickMark val="none"/>
        <c:tickLblPos val="nextTo"/>
        <c:crossAx val="348308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394134636441391"/>
          <c:y val="0"/>
          <c:w val="0.54605865363558614"/>
          <c:h val="0.87740317637224852"/>
        </c:manualLayout>
      </c:layout>
      <c:barChart>
        <c:barDir val="bar"/>
        <c:grouping val="stacked"/>
        <c:varyColors val="0"/>
        <c:ser>
          <c:idx val="1"/>
          <c:order val="0"/>
          <c:spPr>
            <a:solidFill>
              <a:srgbClr val="00B050"/>
            </a:solidFill>
            <a:ln>
              <a:noFill/>
            </a:ln>
            <a:effectLst/>
          </c:spPr>
          <c:invertIfNegative val="0"/>
          <c:dLbls>
            <c:dLbl>
              <c:idx val="0"/>
              <c:layout>
                <c:manualLayout>
                  <c:x val="0.1805328364755455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A-4E77-BA43-436BAE427B7E}"/>
                </c:ext>
              </c:extLst>
            </c:dLbl>
            <c:dLbl>
              <c:idx val="1"/>
              <c:layout>
                <c:manualLayout>
                  <c:x val="0.1392060425835531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A-4E77-BA43-436BAE427B7E}"/>
                </c:ext>
              </c:extLst>
            </c:dLbl>
            <c:dLbl>
              <c:idx val="2"/>
              <c:layout>
                <c:manualLayout>
                  <c:x val="0.24796076335195416"/>
                  <c:y val="-8.2559339525283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A-4E77-BA43-436BAE427B7E}"/>
                </c:ext>
              </c:extLst>
            </c:dLbl>
            <c:dLbl>
              <c:idx val="3"/>
              <c:layout>
                <c:manualLayout>
                  <c:x val="0.3762913338586671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A-4E77-BA43-436BAE427B7E}"/>
                </c:ext>
              </c:extLst>
            </c:dLbl>
            <c:dLbl>
              <c:idx val="4"/>
              <c:layout>
                <c:manualLayout>
                  <c:x val="0.1783577420601774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A-4E77-BA43-436BAE427B7E}"/>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'Trams quantia'!$N$3:$N$7</c:f>
              <c:strCache>
                <c:ptCount val="5"/>
                <c:pt idx="0">
                  <c:v>from 20.001,00€ to 45.000,00€</c:v>
                </c:pt>
                <c:pt idx="1">
                  <c:v>from 45.001,00€ to 90.000,00€</c:v>
                </c:pt>
                <c:pt idx="2">
                  <c:v>from 90.001,00€ to 180.000,00€</c:v>
                </c:pt>
                <c:pt idx="3">
                  <c:v>from 180.001,-€ to 600.000,-€</c:v>
                </c:pt>
                <c:pt idx="4">
                  <c:v>Greater than 1.500.000,00€</c:v>
                </c:pt>
              </c:strCache>
            </c:strRef>
          </c:cat>
          <c:val>
            <c:numRef>
              <c:f>'Trams quantia'!$P$3:$P$7</c:f>
              <c:numCache>
                <c:formatCode>0%</c:formatCode>
                <c:ptCount val="5"/>
                <c:pt idx="0">
                  <c:v>0.12903225806451613</c:v>
                </c:pt>
                <c:pt idx="1">
                  <c:v>9.6774193548387094E-2</c:v>
                </c:pt>
                <c:pt idx="2">
                  <c:v>0.19354838709677419</c:v>
                </c:pt>
                <c:pt idx="3">
                  <c:v>0.32258064516129031</c:v>
                </c:pt>
                <c:pt idx="4">
                  <c:v>0.12903225806451613</c:v>
                </c:pt>
              </c:numCache>
            </c:numRef>
          </c:val>
          <c:extLst>
            <c:ext xmlns:c16="http://schemas.microsoft.com/office/drawing/2014/chart" uri="{C3380CC4-5D6E-409C-BE32-E72D297353CC}">
              <c16:uniqueId val="{00000005-4D7A-4E77-BA43-436BAE427B7E}"/>
            </c:ext>
          </c:extLst>
        </c:ser>
        <c:dLbls>
          <c:showLegendKey val="0"/>
          <c:showVal val="0"/>
          <c:showCatName val="0"/>
          <c:showSerName val="0"/>
          <c:showPercent val="0"/>
          <c:showBubbleSize val="0"/>
        </c:dLbls>
        <c:gapWidth val="150"/>
        <c:overlap val="100"/>
        <c:axId val="1563544544"/>
        <c:axId val="1563543584"/>
      </c:barChart>
      <c:catAx>
        <c:axId val="1563544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1563543584"/>
        <c:crosses val="autoZero"/>
        <c:auto val="1"/>
        <c:lblAlgn val="ctr"/>
        <c:lblOffset val="100"/>
        <c:noMultiLvlLbl val="0"/>
      </c:catAx>
      <c:valAx>
        <c:axId val="1563543584"/>
        <c:scaling>
          <c:orientation val="minMax"/>
        </c:scaling>
        <c:delete val="1"/>
        <c:axPos val="b"/>
        <c:numFmt formatCode="0%" sourceLinked="1"/>
        <c:majorTickMark val="none"/>
        <c:minorTickMark val="none"/>
        <c:tickLblPos val="nextTo"/>
        <c:crossAx val="1563544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spPr>
            <a:solidFill>
              <a:srgbClr val="00B050"/>
            </a:solidFill>
            <a:ln>
              <a:noFill/>
            </a:ln>
            <a:effectLst/>
          </c:spPr>
          <c:invertIfNegative val="0"/>
          <c:cat>
            <c:strRef>
              <c:f>Moda!$L$20:$L$23</c:f>
              <c:strCache>
                <c:ptCount val="4"/>
                <c:pt idx="0">
                  <c:v>from 20.001,00€ to 45.000,00€</c:v>
                </c:pt>
                <c:pt idx="1">
                  <c:v>from 90.001,00€ to 180.000,00€</c:v>
                </c:pt>
                <c:pt idx="2">
                  <c:v>from 180.001,00€ to 600.000,00€</c:v>
                </c:pt>
                <c:pt idx="3">
                  <c:v>Greater than 1.500.000,00€</c:v>
                </c:pt>
              </c:strCache>
            </c:strRef>
          </c:cat>
          <c:val>
            <c:numRef>
              <c:f>Moda!$M$20:$M$23</c:f>
              <c:numCache>
                <c:formatCode>General</c:formatCode>
                <c:ptCount val="4"/>
                <c:pt idx="0">
                  <c:v>4</c:v>
                </c:pt>
                <c:pt idx="1">
                  <c:v>6</c:v>
                </c:pt>
                <c:pt idx="2">
                  <c:v>10</c:v>
                </c:pt>
                <c:pt idx="3">
                  <c:v>4</c:v>
                </c:pt>
              </c:numCache>
            </c:numRef>
          </c:val>
          <c:extLst>
            <c:ext xmlns:c16="http://schemas.microsoft.com/office/drawing/2014/chart" uri="{C3380CC4-5D6E-409C-BE32-E72D297353CC}">
              <c16:uniqueId val="{00000000-4CBC-4724-A503-84A5471509DE}"/>
            </c:ext>
          </c:extLst>
        </c:ser>
        <c:ser>
          <c:idx val="1"/>
          <c:order val="1"/>
          <c:spPr>
            <a:noFill/>
            <a:ln>
              <a:noFill/>
            </a:ln>
            <a:effectLst/>
          </c:spPr>
          <c:invertIfNegative val="0"/>
          <c:dLbls>
            <c:dLbl>
              <c:idx val="0"/>
              <c:layout>
                <c:manualLayout>
                  <c:x val="7.603827646544182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BC-4724-A503-84A5471509DE}"/>
                </c:ext>
              </c:extLst>
            </c:dLbl>
            <c:dLbl>
              <c:idx val="1"/>
              <c:layout>
                <c:manualLayout>
                  <c:x val="7.222790901137357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BC-4724-A503-84A5471509DE}"/>
                </c:ext>
              </c:extLst>
            </c:dLbl>
            <c:dLbl>
              <c:idx val="2"/>
              <c:layout>
                <c:manualLayout>
                  <c:x val="4.0680164979377584E-2"/>
                  <c:y val="3.4469537610797504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9.8951693538307711E-2"/>
                      <c:h val="9.5419716796000281E-2"/>
                    </c:manualLayout>
                  </c15:layout>
                </c:ext>
                <c:ext xmlns:c16="http://schemas.microsoft.com/office/drawing/2014/chart" uri="{C3380CC4-5D6E-409C-BE32-E72D297353CC}">
                  <c16:uniqueId val="{00000003-4CBC-4724-A503-84A5471509DE}"/>
                </c:ext>
              </c:extLst>
            </c:dLbl>
            <c:dLbl>
              <c:idx val="3"/>
              <c:layout>
                <c:manualLayout>
                  <c:x val="7.2266431591686719E-2"/>
                  <c:y val="4.629629629629629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BC-4724-A503-84A5471509DE}"/>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Moda!$L$20:$L$23</c:f>
              <c:strCache>
                <c:ptCount val="4"/>
                <c:pt idx="0">
                  <c:v>from 20.001,00€ to 45.000,00€</c:v>
                </c:pt>
                <c:pt idx="1">
                  <c:v>from 90.001,00€ to 180.000,00€</c:v>
                </c:pt>
                <c:pt idx="2">
                  <c:v>from 180.001,00€ to 600.000,00€</c:v>
                </c:pt>
                <c:pt idx="3">
                  <c:v>Greater than 1.500.000,00€</c:v>
                </c:pt>
              </c:strCache>
            </c:strRef>
          </c:cat>
          <c:val>
            <c:numRef>
              <c:f>Moda!$N$20:$N$23</c:f>
              <c:numCache>
                <c:formatCode>0%</c:formatCode>
                <c:ptCount val="4"/>
                <c:pt idx="0">
                  <c:v>0.12903225806451613</c:v>
                </c:pt>
                <c:pt idx="1">
                  <c:v>0.19354838709677419</c:v>
                </c:pt>
                <c:pt idx="2">
                  <c:v>0.32258064516129031</c:v>
                </c:pt>
                <c:pt idx="3">
                  <c:v>0.12903225806451613</c:v>
                </c:pt>
              </c:numCache>
            </c:numRef>
          </c:val>
          <c:extLst>
            <c:ext xmlns:c16="http://schemas.microsoft.com/office/drawing/2014/chart" uri="{C3380CC4-5D6E-409C-BE32-E72D297353CC}">
              <c16:uniqueId val="{00000005-4CBC-4724-A503-84A5471509DE}"/>
            </c:ext>
          </c:extLst>
        </c:ser>
        <c:dLbls>
          <c:showLegendKey val="0"/>
          <c:showVal val="0"/>
          <c:showCatName val="0"/>
          <c:showSerName val="0"/>
          <c:showPercent val="0"/>
          <c:showBubbleSize val="0"/>
        </c:dLbls>
        <c:gapWidth val="150"/>
        <c:overlap val="100"/>
        <c:axId val="566663936"/>
        <c:axId val="566663456"/>
      </c:barChart>
      <c:catAx>
        <c:axId val="5666639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566663456"/>
        <c:crosses val="autoZero"/>
        <c:auto val="1"/>
        <c:lblAlgn val="ctr"/>
        <c:lblOffset val="100"/>
        <c:noMultiLvlLbl val="0"/>
      </c:catAx>
      <c:valAx>
        <c:axId val="566663456"/>
        <c:scaling>
          <c:orientation val="minMax"/>
        </c:scaling>
        <c:delete val="1"/>
        <c:axPos val="b"/>
        <c:numFmt formatCode="General" sourceLinked="1"/>
        <c:majorTickMark val="out"/>
        <c:minorTickMark val="none"/>
        <c:tickLblPos val="nextTo"/>
        <c:crossAx val="566663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1"/>
          <c:order val="0"/>
          <c:tx>
            <c:strRef>
              <c:f>Moda!$S$22</c:f>
              <c:strCache>
                <c:ptCount val="1"/>
                <c:pt idx="0">
                  <c:v>Percentatge</c:v>
                </c:pt>
              </c:strCache>
            </c:strRef>
          </c:tx>
          <c:spPr>
            <a:solidFill>
              <a:srgbClr val="009900"/>
            </a:solidFill>
            <a:ln>
              <a:noFill/>
            </a:ln>
            <a:effectLst/>
          </c:spPr>
          <c:invertIfNegative val="0"/>
          <c:dLbls>
            <c:dLbl>
              <c:idx val="0"/>
              <c:layout>
                <c:manualLayout>
                  <c:x val="0.3194444444444445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27-4FD8-9B73-5B20145C2C97}"/>
                </c:ext>
              </c:extLst>
            </c:dLbl>
            <c:dLbl>
              <c:idx val="1"/>
              <c:layout>
                <c:manualLayout>
                  <c:x val="0.3194444444444445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27-4FD8-9B73-5B20145C2C97}"/>
                </c:ext>
              </c:extLst>
            </c:dLbl>
            <c:dLbl>
              <c:idx val="2"/>
              <c:layout>
                <c:manualLayout>
                  <c:x val="0.16666666666666657"/>
                  <c:y val="-4.629629629629629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27-4FD8-9B73-5B20145C2C9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Moda!$Q$23:$Q$25</c:f>
              <c:strCache>
                <c:ptCount val="3"/>
                <c:pt idx="0">
                  <c:v>from 20.001,00€ to 180.000,00€</c:v>
                </c:pt>
                <c:pt idx="1">
                  <c:v>from 180.001,00€ to 600.000,00€</c:v>
                </c:pt>
                <c:pt idx="2">
                  <c:v>Greater than 1.500.000,00€</c:v>
                </c:pt>
              </c:strCache>
            </c:strRef>
          </c:cat>
          <c:val>
            <c:numRef>
              <c:f>Moda!$S$23:$S$25</c:f>
              <c:numCache>
                <c:formatCode>0%</c:formatCode>
                <c:ptCount val="3"/>
                <c:pt idx="0">
                  <c:v>0.32</c:v>
                </c:pt>
                <c:pt idx="1">
                  <c:v>0.32</c:v>
                </c:pt>
                <c:pt idx="2">
                  <c:v>0.13</c:v>
                </c:pt>
              </c:numCache>
            </c:numRef>
          </c:val>
          <c:extLst>
            <c:ext xmlns:c16="http://schemas.microsoft.com/office/drawing/2014/chart" uri="{C3380CC4-5D6E-409C-BE32-E72D297353CC}">
              <c16:uniqueId val="{00000003-F227-4FD8-9B73-5B20145C2C97}"/>
            </c:ext>
          </c:extLst>
        </c:ser>
        <c:dLbls>
          <c:dLblPos val="ctr"/>
          <c:showLegendKey val="0"/>
          <c:showVal val="1"/>
          <c:showCatName val="0"/>
          <c:showSerName val="0"/>
          <c:showPercent val="0"/>
          <c:showBubbleSize val="0"/>
        </c:dLbls>
        <c:gapWidth val="150"/>
        <c:overlap val="100"/>
        <c:axId val="98021119"/>
        <c:axId val="98018239"/>
      </c:barChart>
      <c:catAx>
        <c:axId val="98021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98018239"/>
        <c:crosses val="autoZero"/>
        <c:auto val="1"/>
        <c:lblAlgn val="ctr"/>
        <c:lblOffset val="100"/>
        <c:noMultiLvlLbl val="0"/>
      </c:catAx>
      <c:valAx>
        <c:axId val="98018239"/>
        <c:scaling>
          <c:orientation val="minMax"/>
        </c:scaling>
        <c:delete val="1"/>
        <c:axPos val="b"/>
        <c:numFmt formatCode="0%" sourceLinked="1"/>
        <c:majorTickMark val="none"/>
        <c:minorTickMark val="none"/>
        <c:tickLblPos val="nextTo"/>
        <c:crossAx val="980211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Total</a:t>
            </a:r>
            <a:r>
              <a:rPr lang="es-ES" sz="1200" b="1"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 Amount</a:t>
            </a:r>
            <a:endPar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title>
    <c:autoTitleDeleted val="0"/>
    <c:plotArea>
      <c:layout/>
      <c:barChart>
        <c:barDir val="col"/>
        <c:grouping val="clustered"/>
        <c:varyColors val="0"/>
        <c:ser>
          <c:idx val="0"/>
          <c:order val="0"/>
          <c:tx>
            <c:strRef>
              <c:f>Resum!$C$5</c:f>
              <c:strCache>
                <c:ptCount val="1"/>
                <c:pt idx="0">
                  <c:v>Total amount</c:v>
                </c:pt>
              </c:strCache>
            </c:strRef>
          </c:tx>
          <c:spPr>
            <a:solidFill>
              <a:schemeClr val="accent6">
                <a:lumMod val="75000"/>
              </a:schemeClr>
            </a:solidFill>
            <a:ln>
              <a:noFill/>
            </a:ln>
            <a:effectLst/>
          </c:spPr>
          <c:invertIfNegative val="0"/>
          <c:dLbls>
            <c:dLbl>
              <c:idx val="0"/>
              <c:layout>
                <c:manualLayout>
                  <c:x val="1.6740521910388981E-2"/>
                  <c:y val="-3.45911864034104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CC-4677-AA7C-8FA40EA2D258}"/>
                </c:ext>
              </c:extLst>
            </c:dLbl>
            <c:dLbl>
              <c:idx val="2"/>
              <c:delete val="1"/>
              <c:extLst>
                <c:ext xmlns:c15="http://schemas.microsoft.com/office/drawing/2012/chart" uri="{CE6537A1-D6FC-4f65-9D91-7224C49458BB}"/>
                <c:ext xmlns:c16="http://schemas.microsoft.com/office/drawing/2014/chart" uri="{C3380CC4-5D6E-409C-BE32-E72D297353CC}">
                  <c16:uniqueId val="{00000001-42CC-4677-AA7C-8FA40EA2D258}"/>
                </c:ext>
              </c:extLst>
            </c:dLbl>
            <c:dLbl>
              <c:idx val="5"/>
              <c:delete val="1"/>
              <c:extLst>
                <c:ext xmlns:c15="http://schemas.microsoft.com/office/drawing/2012/chart" uri="{CE6537A1-D6FC-4f65-9D91-7224C49458BB}"/>
                <c:ext xmlns:c16="http://schemas.microsoft.com/office/drawing/2014/chart" uri="{C3380CC4-5D6E-409C-BE32-E72D297353CC}">
                  <c16:uniqueId val="{00000002-42CC-4677-AA7C-8FA40EA2D258}"/>
                </c:ext>
              </c:extLst>
            </c:dLbl>
            <c:dLbl>
              <c:idx val="8"/>
              <c:delete val="1"/>
              <c:extLst>
                <c:ext xmlns:c15="http://schemas.microsoft.com/office/drawing/2012/chart" uri="{CE6537A1-D6FC-4f65-9D91-7224C49458BB}"/>
                <c:ext xmlns:c16="http://schemas.microsoft.com/office/drawing/2014/chart" uri="{C3380CC4-5D6E-409C-BE32-E72D297353CC}">
                  <c16:uniqueId val="{00000003-42CC-4677-AA7C-8FA40EA2D258}"/>
                </c:ext>
              </c:extLst>
            </c:dLbl>
            <c:dLbl>
              <c:idx val="11"/>
              <c:delete val="1"/>
              <c:extLst>
                <c:ext xmlns:c15="http://schemas.microsoft.com/office/drawing/2012/chart" uri="{CE6537A1-D6FC-4f65-9D91-7224C49458BB}"/>
                <c:ext xmlns:c16="http://schemas.microsoft.com/office/drawing/2014/chart" uri="{C3380CC4-5D6E-409C-BE32-E72D297353CC}">
                  <c16:uniqueId val="{00000004-42CC-4677-AA7C-8FA40EA2D258}"/>
                </c:ext>
              </c:extLst>
            </c:dLbl>
            <c:dLbl>
              <c:idx val="14"/>
              <c:delete val="1"/>
              <c:extLst>
                <c:ext xmlns:c15="http://schemas.microsoft.com/office/drawing/2012/chart" uri="{CE6537A1-D6FC-4f65-9D91-7224C49458BB}"/>
                <c:ext xmlns:c16="http://schemas.microsoft.com/office/drawing/2014/chart" uri="{C3380CC4-5D6E-409C-BE32-E72D297353CC}">
                  <c16:uniqueId val="{00000005-42CC-4677-AA7C-8FA40EA2D25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Resum!$D$5:$S$5</c:f>
              <c:numCache>
                <c:formatCode>General</c:formatCode>
                <c:ptCount val="16"/>
                <c:pt idx="0" formatCode="#,##0.00\ &quot;€&quot;;[Red]#,##0.00\ &quot;€&quot;">
                  <c:v>11172183.499999998</c:v>
                </c:pt>
                <c:pt idx="2" formatCode="#,##0.00\ &quot;€&quot;;[Red]#,##0.00\ &quot;€&quot;">
                  <c:v>0</c:v>
                </c:pt>
                <c:pt idx="3" formatCode="#,##0.00\ &quot;€&quot;;[Red]#,##0.00\ &quot;€&quot;">
                  <c:v>32019876.780000005</c:v>
                </c:pt>
                <c:pt idx="5">
                  <c:v>0</c:v>
                </c:pt>
                <c:pt idx="6" formatCode="#,##0.00\ &quot;€&quot;;[Red]#,##0.00\ &quot;€&quot;">
                  <c:v>22730636.050000001</c:v>
                </c:pt>
                <c:pt idx="8" formatCode="#,##0.00\ &quot;€&quot;;[Red]#,##0.00\ &quot;€&quot;">
                  <c:v>0</c:v>
                </c:pt>
                <c:pt idx="9" formatCode="#,##0.00\ &quot;€&quot;;[Red]#,##0.00\ &quot;€&quot;">
                  <c:v>14507624.959999997</c:v>
                </c:pt>
                <c:pt idx="11" formatCode="#,##0.00\ &quot;€&quot;;[Red]#,##0.00\ &quot;€&quot;">
                  <c:v>0</c:v>
                </c:pt>
                <c:pt idx="12" formatCode="#,##0.00\ &quot;€&quot;;[Red]#,##0.00\ &quot;€&quot;">
                  <c:v>17916092.16</c:v>
                </c:pt>
                <c:pt idx="14">
                  <c:v>0</c:v>
                </c:pt>
                <c:pt idx="15" formatCode="#,##0.00\ &quot;€&quot;;[Red]#,##0.00\ &quot;€&quot;">
                  <c:v>21975942.649999995</c:v>
                </c:pt>
              </c:numCache>
            </c:numRef>
          </c:val>
          <c:extLst>
            <c:ext xmlns:c16="http://schemas.microsoft.com/office/drawing/2014/chart" uri="{C3380CC4-5D6E-409C-BE32-E72D297353CC}">
              <c16:uniqueId val="{00000006-42CC-4677-AA7C-8FA40EA2D258}"/>
            </c:ext>
          </c:extLst>
        </c:ser>
        <c:ser>
          <c:idx val="3"/>
          <c:order val="3"/>
          <c:tx>
            <c:strRef>
              <c:f>Resum!$C$8</c:f>
              <c:strCache>
                <c:ptCount val="1"/>
                <c:pt idx="0">
                  <c:v>Total amount rounded</c:v>
                </c:pt>
              </c:strCache>
            </c:strRef>
          </c:tx>
          <c:spPr>
            <a:solidFill>
              <a:srgbClr val="00B050"/>
            </a:solidFill>
            <a:ln>
              <a:noFill/>
            </a:ln>
            <a:effectLst/>
          </c:spPr>
          <c:invertIfNegative val="0"/>
          <c:dLbls>
            <c:dLbl>
              <c:idx val="0"/>
              <c:layout>
                <c:manualLayout>
                  <c:x val="4.3515614267224861E-2"/>
                  <c:y val="-3.1444812002050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CC-4677-AA7C-8FA40EA2D258}"/>
                </c:ext>
              </c:extLst>
            </c:dLbl>
            <c:dLbl>
              <c:idx val="2"/>
              <c:delete val="1"/>
              <c:extLst>
                <c:ext xmlns:c15="http://schemas.microsoft.com/office/drawing/2012/chart" uri="{CE6537A1-D6FC-4f65-9D91-7224C49458BB}"/>
                <c:ext xmlns:c16="http://schemas.microsoft.com/office/drawing/2014/chart" uri="{C3380CC4-5D6E-409C-BE32-E72D297353CC}">
                  <c16:uniqueId val="{00000008-42CC-4677-AA7C-8FA40EA2D258}"/>
                </c:ext>
              </c:extLst>
            </c:dLbl>
            <c:dLbl>
              <c:idx val="3"/>
              <c:layout>
                <c:manualLayout>
                  <c:x val="5.591838210306356E-2"/>
                  <c:y val="5.917159763313609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CC-4677-AA7C-8FA40EA2D258}"/>
                </c:ext>
              </c:extLst>
            </c:dLbl>
            <c:dLbl>
              <c:idx val="5"/>
              <c:delete val="1"/>
              <c:extLst>
                <c:ext xmlns:c15="http://schemas.microsoft.com/office/drawing/2012/chart" uri="{CE6537A1-D6FC-4f65-9D91-7224C49458BB}"/>
                <c:ext xmlns:c16="http://schemas.microsoft.com/office/drawing/2014/chart" uri="{C3380CC4-5D6E-409C-BE32-E72D297353CC}">
                  <c16:uniqueId val="{0000000A-42CC-4677-AA7C-8FA40EA2D258}"/>
                </c:ext>
              </c:extLst>
            </c:dLbl>
            <c:dLbl>
              <c:idx val="6"/>
              <c:layout>
                <c:manualLayout>
                  <c:x val="4.5485058169381719E-2"/>
                  <c:y val="2.77267856310860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2CC-4677-AA7C-8FA40EA2D258}"/>
                </c:ext>
              </c:extLst>
            </c:dLbl>
            <c:dLbl>
              <c:idx val="8"/>
              <c:delete val="1"/>
              <c:extLst>
                <c:ext xmlns:c15="http://schemas.microsoft.com/office/drawing/2012/chart" uri="{CE6537A1-D6FC-4f65-9D91-7224C49458BB}"/>
                <c:ext xmlns:c16="http://schemas.microsoft.com/office/drawing/2014/chart" uri="{C3380CC4-5D6E-409C-BE32-E72D297353CC}">
                  <c16:uniqueId val="{0000000C-42CC-4677-AA7C-8FA40EA2D258}"/>
                </c:ext>
              </c:extLst>
            </c:dLbl>
            <c:dLbl>
              <c:idx val="9"/>
              <c:layout>
                <c:manualLayout>
                  <c:x val="4.423447069116347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CC-4677-AA7C-8FA40EA2D258}"/>
                </c:ext>
              </c:extLst>
            </c:dLbl>
            <c:dLbl>
              <c:idx val="11"/>
              <c:delete val="1"/>
              <c:extLst>
                <c:ext xmlns:c15="http://schemas.microsoft.com/office/drawing/2012/chart" uri="{CE6537A1-D6FC-4f65-9D91-7224C49458BB}"/>
                <c:ext xmlns:c16="http://schemas.microsoft.com/office/drawing/2014/chart" uri="{C3380CC4-5D6E-409C-BE32-E72D297353CC}">
                  <c16:uniqueId val="{0000000E-42CC-4677-AA7C-8FA40EA2D258}"/>
                </c:ext>
              </c:extLst>
            </c:dLbl>
            <c:dLbl>
              <c:idx val="12"/>
              <c:layout>
                <c:manualLayout>
                  <c:x val="5.6165954462303651E-2"/>
                  <c:y val="-5.04817593067138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2CC-4677-AA7C-8FA40EA2D258}"/>
                </c:ext>
              </c:extLst>
            </c:dLbl>
            <c:dLbl>
              <c:idx val="14"/>
              <c:delete val="1"/>
              <c:extLst>
                <c:ext xmlns:c15="http://schemas.microsoft.com/office/drawing/2012/chart" uri="{CE6537A1-D6FC-4f65-9D91-7224C49458BB}"/>
                <c:ext xmlns:c16="http://schemas.microsoft.com/office/drawing/2014/chart" uri="{C3380CC4-5D6E-409C-BE32-E72D297353CC}">
                  <c16:uniqueId val="{00000010-42CC-4677-AA7C-8FA40EA2D258}"/>
                </c:ext>
              </c:extLst>
            </c:dLbl>
            <c:dLbl>
              <c:idx val="15"/>
              <c:layout>
                <c:manualLayout>
                  <c:x val="-5.694945156648807E-2"/>
                  <c:y val="0.127609840190094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2CC-4677-AA7C-8FA40EA2D25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Resum!$D$8:$S$8</c:f>
              <c:numCache>
                <c:formatCode>General</c:formatCode>
                <c:ptCount val="16"/>
                <c:pt idx="0" formatCode="#,##0.00\ &quot;€&quot;;[Red]#,##0.00\ &quot;€&quot;">
                  <c:v>5431854.0599999987</c:v>
                </c:pt>
                <c:pt idx="2" formatCode="#,##0.00\ &quot;€&quot;;[Red]#,##0.00\ &quot;€&quot;">
                  <c:v>0</c:v>
                </c:pt>
                <c:pt idx="3" formatCode="#,##0.00\ &quot;€&quot;;[Red]#,##0.00\ &quot;€&quot;">
                  <c:v>12569029.160000004</c:v>
                </c:pt>
                <c:pt idx="5">
                  <c:v>0</c:v>
                </c:pt>
                <c:pt idx="6" formatCode="#,##0.00\ &quot;€&quot;;[Red]#,##0.00\ &quot;€&quot;">
                  <c:v>7351734.540000001</c:v>
                </c:pt>
                <c:pt idx="8" formatCode="#,##0.00\ &quot;€&quot;;[Red]#,##0.00\ &quot;€&quot;">
                  <c:v>0</c:v>
                </c:pt>
                <c:pt idx="9" formatCode="#,##0.00\ &quot;€&quot;;[Red]#,##0.00\ &quot;€&quot;">
                  <c:v>7951897.3199999966</c:v>
                </c:pt>
                <c:pt idx="11" formatCode="#,##0.00\ &quot;€&quot;;[Red]#,##0.00\ &quot;€&quot;">
                  <c:v>0</c:v>
                </c:pt>
                <c:pt idx="12" formatCode="#,##0.00\ &quot;€&quot;;[Red]#,##0.00\ &quot;€&quot;">
                  <c:v>5048080.6899999995</c:v>
                </c:pt>
                <c:pt idx="14">
                  <c:v>0</c:v>
                </c:pt>
                <c:pt idx="15" formatCode="#,##0.00\ &quot;€&quot;;[Red]#,##0.00\ &quot;€&quot;">
                  <c:v>9864584.4099999964</c:v>
                </c:pt>
              </c:numCache>
            </c:numRef>
          </c:val>
          <c:extLst>
            <c:ext xmlns:c16="http://schemas.microsoft.com/office/drawing/2014/chart" uri="{C3380CC4-5D6E-409C-BE32-E72D297353CC}">
              <c16:uniqueId val="{00000012-42CC-4677-AA7C-8FA40EA2D258}"/>
            </c:ext>
          </c:extLst>
        </c:ser>
        <c:dLbls>
          <c:dLblPos val="outEnd"/>
          <c:showLegendKey val="0"/>
          <c:showVal val="1"/>
          <c:showCatName val="0"/>
          <c:showSerName val="0"/>
          <c:showPercent val="0"/>
          <c:showBubbleSize val="0"/>
        </c:dLbls>
        <c:gapWidth val="219"/>
        <c:overlap val="-27"/>
        <c:axId val="919466575"/>
        <c:axId val="919466095"/>
        <c:extLst>
          <c:ext xmlns:c15="http://schemas.microsoft.com/office/drawing/2012/chart" uri="{02D57815-91ED-43cb-92C2-25804820EDAC}">
            <c15:filteredBarSeries>
              <c15:ser>
                <c:idx val="1"/>
                <c:order val="1"/>
                <c:tx>
                  <c:strRef>
                    <c:extLst>
                      <c:ext uri="{02D57815-91ED-43cb-92C2-25804820EDAC}">
                        <c15:formulaRef>
                          <c15:sqref>Resum!$C$6</c15:sqref>
                        </c15:formulaRef>
                      </c:ext>
                    </c:extLst>
                    <c:strCache>
                      <c:ptCount val="1"/>
                      <c:pt idx="0">
                        <c:v>quantia media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c:ext uri="{02D57815-91ED-43cb-92C2-25804820EDAC}">
                        <c15:formulaRef>
                          <c15:sqref>Resum!$D$6:$S$6</c15:sqref>
                        </c15:formulaRef>
                      </c:ext>
                    </c:extLst>
                    <c:numCache>
                      <c:formatCode>General</c:formatCode>
                      <c:ptCount val="16"/>
                      <c:pt idx="0" formatCode="#,##0.00\ &quot;€&quot;;[Red]#,##0.00\ &quot;€&quot;">
                        <c:v>272492.28048780485</c:v>
                      </c:pt>
                      <c:pt idx="2" formatCode="#,##0.00\ &quot;€&quot;;[Red]#,##0.00\ &quot;€&quot;">
                        <c:v>0</c:v>
                      </c:pt>
                      <c:pt idx="3" formatCode="#,##0.00\ &quot;€&quot;;[Red]#,##0.00\ &quot;€&quot;">
                        <c:v>941761.08176470606</c:v>
                      </c:pt>
                      <c:pt idx="5">
                        <c:v>0</c:v>
                      </c:pt>
                      <c:pt idx="6" formatCode="#,##0.00\ &quot;€&quot;;[Red]#,##0.00\ &quot;€&quot;">
                        <c:v>614341.51486486488</c:v>
                      </c:pt>
                      <c:pt idx="8" formatCode="#,##0.00\ &quot;€&quot;;[Red]#,##0.00\ &quot;€&quot;">
                        <c:v>0</c:v>
                      </c:pt>
                      <c:pt idx="9" formatCode="#,##0.00\ &quot;€&quot;;[Red]#,##0.00\ &quot;€&quot;">
                        <c:v>371990.38358974352</c:v>
                      </c:pt>
                      <c:pt idx="11" formatCode="#,##0.00\ &quot;€&quot;;[Red]#,##0.00\ &quot;€&quot;">
                        <c:v>0</c:v>
                      </c:pt>
                      <c:pt idx="12" formatCode="#,##0.00\ &quot;€&quot;;[Red]#,##0.00\ &quot;€&quot;">
                        <c:v>577938.45677419356</c:v>
                      </c:pt>
                      <c:pt idx="14">
                        <c:v>0</c:v>
                      </c:pt>
                      <c:pt idx="15" formatCode="#,##0.00\ &quot;€&quot;;[Red]#,##0.00\ &quot;€&quot;">
                        <c:v>646351.25441176456</c:v>
                      </c:pt>
                    </c:numCache>
                  </c:numRef>
                </c:val>
                <c:extLst>
                  <c:ext xmlns:c16="http://schemas.microsoft.com/office/drawing/2014/chart" uri="{C3380CC4-5D6E-409C-BE32-E72D297353CC}">
                    <c16:uniqueId val="{00000013-42CC-4677-AA7C-8FA40EA2D25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Resum!$C$7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Resum!$D$7:$S$7</c15:sqref>
                        </c15:formulaRef>
                      </c:ext>
                    </c:extLst>
                    <c:numCache>
                      <c:formatCode>General</c:formatCode>
                      <c:ptCount val="16"/>
                    </c:numCache>
                  </c:numRef>
                </c:val>
                <c:extLst xmlns:c15="http://schemas.microsoft.com/office/drawing/2012/chart">
                  <c:ext xmlns:c16="http://schemas.microsoft.com/office/drawing/2014/chart" uri="{C3380CC4-5D6E-409C-BE32-E72D297353CC}">
                    <c16:uniqueId val="{00000014-42CC-4677-AA7C-8FA40EA2D25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Resum!$C$9</c15:sqref>
                        </c15:formulaRef>
                      </c:ext>
                    </c:extLst>
                    <c:strCache>
                      <c:ptCount val="1"/>
                      <c:pt idx="0">
                        <c:v>quantia média acotada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Resum!$D$9:$S$9</c15:sqref>
                        </c15:formulaRef>
                      </c:ext>
                    </c:extLst>
                    <c:numCache>
                      <c:formatCode>General</c:formatCode>
                      <c:ptCount val="16"/>
                      <c:pt idx="0" formatCode="#,##0.00\ &quot;€&quot;;[Red]#,##0.00\ &quot;€&quot;">
                        <c:v>146806.86648648645</c:v>
                      </c:pt>
                      <c:pt idx="2" formatCode="#,##0.00\ &quot;€&quot;;[Red]#,##0.00\ &quot;€&quot;">
                        <c:v>0</c:v>
                      </c:pt>
                      <c:pt idx="3" formatCode="#,##0.00\ &quot;€&quot;;[Red]#,##0.00\ &quot;€&quot;">
                        <c:v>418967.63866666681</c:v>
                      </c:pt>
                      <c:pt idx="5">
                        <c:v>0</c:v>
                      </c:pt>
                      <c:pt idx="6" formatCode="#,##0.00\ &quot;€&quot;;[Red]#,##0.00\ &quot;€&quot;">
                        <c:v>222779.83454545456</c:v>
                      </c:pt>
                      <c:pt idx="8" formatCode="#,##0.00\ &quot;€&quot;;[Red]#,##0.00\ &quot;€&quot;">
                        <c:v>0</c:v>
                      </c:pt>
                      <c:pt idx="9" formatCode="#,##0.00\ &quot;€&quot;;[Red]#,##0.00\ &quot;€&quot;">
                        <c:v>227197.06628571419</c:v>
                      </c:pt>
                      <c:pt idx="11" formatCode="#,##0.00\ &quot;€&quot;;[Red]#,##0.00\ &quot;€&quot;">
                        <c:v>0</c:v>
                      </c:pt>
                      <c:pt idx="12" formatCode="#,##0.00\ &quot;€&quot;;[Red]#,##0.00\ &quot;€&quot;">
                        <c:v>186965.95148148146</c:v>
                      </c:pt>
                      <c:pt idx="14">
                        <c:v>0</c:v>
                      </c:pt>
                      <c:pt idx="15" formatCode="#,##0.00\ &quot;€&quot;;[Red]#,##0.00\ &quot;€&quot;">
                        <c:v>328819.48033333319</c:v>
                      </c:pt>
                    </c:numCache>
                  </c:numRef>
                </c:val>
                <c:extLst xmlns:c15="http://schemas.microsoft.com/office/drawing/2012/chart">
                  <c:ext xmlns:c16="http://schemas.microsoft.com/office/drawing/2014/chart" uri="{C3380CC4-5D6E-409C-BE32-E72D297353CC}">
                    <c16:uniqueId val="{00000015-42CC-4677-AA7C-8FA40EA2D258}"/>
                  </c:ext>
                </c:extLst>
              </c15:ser>
            </c15:filteredBarSeries>
          </c:ext>
        </c:extLst>
      </c:barChart>
      <c:catAx>
        <c:axId val="919466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919466095"/>
        <c:crosses val="autoZero"/>
        <c:auto val="1"/>
        <c:lblAlgn val="ctr"/>
        <c:lblOffset val="100"/>
        <c:noMultiLvlLbl val="0"/>
      </c:catAx>
      <c:valAx>
        <c:axId val="919466095"/>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919466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Average</a:t>
            </a:r>
            <a:r>
              <a:rPr lang="es-ES" sz="1200" b="1"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 amount</a:t>
            </a:r>
            <a:endPar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6.8669920932780612E-2"/>
          <c:y val="0.12031246710617149"/>
          <c:w val="0.91783059827801894"/>
          <c:h val="0.71971054251133459"/>
        </c:manualLayout>
      </c:layout>
      <c:barChart>
        <c:barDir val="col"/>
        <c:grouping val="clustered"/>
        <c:varyColors val="0"/>
        <c:ser>
          <c:idx val="1"/>
          <c:order val="1"/>
          <c:tx>
            <c:strRef>
              <c:f>Resum!$C$6</c:f>
              <c:strCache>
                <c:ptCount val="1"/>
                <c:pt idx="0">
                  <c:v>Average Amount</c:v>
                </c:pt>
              </c:strCache>
            </c:strRef>
          </c:tx>
          <c:spPr>
            <a:solidFill>
              <a:schemeClr val="accent6">
                <a:lumMod val="75000"/>
              </a:schemeClr>
            </a:solidFill>
            <a:ln>
              <a:noFill/>
            </a:ln>
            <a:effectLst/>
          </c:spPr>
          <c:invertIfNegative val="0"/>
          <c:dLbls>
            <c:dLbl>
              <c:idx val="0"/>
              <c:layout>
                <c:manualLayout>
                  <c:x val="2.8352743040428525E-2"/>
                  <c:y val="-1.04168090722067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1C-4B69-AFC3-0C073EC5957E}"/>
                </c:ext>
              </c:extLst>
            </c:dLbl>
            <c:dLbl>
              <c:idx val="2"/>
              <c:delete val="1"/>
              <c:extLst>
                <c:ext xmlns:c15="http://schemas.microsoft.com/office/drawing/2012/chart" uri="{CE6537A1-D6FC-4f65-9D91-7224C49458BB}"/>
                <c:ext xmlns:c16="http://schemas.microsoft.com/office/drawing/2014/chart" uri="{C3380CC4-5D6E-409C-BE32-E72D297353CC}">
                  <c16:uniqueId val="{00000001-371C-4B69-AFC3-0C073EC5957E}"/>
                </c:ext>
              </c:extLst>
            </c:dLbl>
            <c:dLbl>
              <c:idx val="3"/>
              <c:layout>
                <c:manualLayout>
                  <c:x val="0"/>
                  <c:y val="-3.47222127290538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1C-4B69-AFC3-0C073EC5957E}"/>
                </c:ext>
              </c:extLst>
            </c:dLbl>
            <c:dLbl>
              <c:idx val="5"/>
              <c:delete val="1"/>
              <c:extLst>
                <c:ext xmlns:c15="http://schemas.microsoft.com/office/drawing/2012/chart" uri="{CE6537A1-D6FC-4f65-9D91-7224C49458BB}"/>
                <c:ext xmlns:c16="http://schemas.microsoft.com/office/drawing/2014/chart" uri="{C3380CC4-5D6E-409C-BE32-E72D297353CC}">
                  <c16:uniqueId val="{00000003-371C-4B69-AFC3-0C073EC5957E}"/>
                </c:ext>
              </c:extLst>
            </c:dLbl>
            <c:dLbl>
              <c:idx val="8"/>
              <c:delete val="1"/>
              <c:extLst>
                <c:ext xmlns:c15="http://schemas.microsoft.com/office/drawing/2012/chart" uri="{CE6537A1-D6FC-4f65-9D91-7224C49458BB}"/>
                <c:ext xmlns:c16="http://schemas.microsoft.com/office/drawing/2014/chart" uri="{C3380CC4-5D6E-409C-BE32-E72D297353CC}">
                  <c16:uniqueId val="{00000004-371C-4B69-AFC3-0C073EC5957E}"/>
                </c:ext>
              </c:extLst>
            </c:dLbl>
            <c:dLbl>
              <c:idx val="11"/>
              <c:delete val="1"/>
              <c:extLst>
                <c:ext xmlns:c15="http://schemas.microsoft.com/office/drawing/2012/chart" uri="{CE6537A1-D6FC-4f65-9D91-7224C49458BB}"/>
                <c:ext xmlns:c16="http://schemas.microsoft.com/office/drawing/2014/chart" uri="{C3380CC4-5D6E-409C-BE32-E72D297353CC}">
                  <c16:uniqueId val="{00000005-371C-4B69-AFC3-0C073EC5957E}"/>
                </c:ext>
              </c:extLst>
            </c:dLbl>
            <c:dLbl>
              <c:idx val="14"/>
              <c:delete val="1"/>
              <c:extLst>
                <c:ext xmlns:c15="http://schemas.microsoft.com/office/drawing/2012/chart" uri="{CE6537A1-D6FC-4f65-9D91-7224C49458BB}"/>
                <c:ext xmlns:c16="http://schemas.microsoft.com/office/drawing/2014/chart" uri="{C3380CC4-5D6E-409C-BE32-E72D297353CC}">
                  <c16:uniqueId val="{00000006-371C-4B69-AFC3-0C073EC5957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Resum!$D$6:$S$6</c:f>
              <c:numCache>
                <c:formatCode>General</c:formatCode>
                <c:ptCount val="16"/>
                <c:pt idx="0" formatCode="#,##0.00\ &quot;€&quot;;[Red]#,##0.00\ &quot;€&quot;">
                  <c:v>272492.28048780485</c:v>
                </c:pt>
                <c:pt idx="2" formatCode="#,##0.00\ &quot;€&quot;;[Red]#,##0.00\ &quot;€&quot;">
                  <c:v>0</c:v>
                </c:pt>
                <c:pt idx="3" formatCode="#,##0.00\ &quot;€&quot;;[Red]#,##0.00\ &quot;€&quot;">
                  <c:v>941761.08176470606</c:v>
                </c:pt>
                <c:pt idx="5">
                  <c:v>0</c:v>
                </c:pt>
                <c:pt idx="6" formatCode="#,##0.00\ &quot;€&quot;;[Red]#,##0.00\ &quot;€&quot;">
                  <c:v>614341.51486486488</c:v>
                </c:pt>
                <c:pt idx="8" formatCode="#,##0.00\ &quot;€&quot;;[Red]#,##0.00\ &quot;€&quot;">
                  <c:v>0</c:v>
                </c:pt>
                <c:pt idx="9" formatCode="#,##0.00\ &quot;€&quot;;[Red]#,##0.00\ &quot;€&quot;">
                  <c:v>371990.38358974352</c:v>
                </c:pt>
                <c:pt idx="11" formatCode="#,##0.00\ &quot;€&quot;;[Red]#,##0.00\ &quot;€&quot;">
                  <c:v>0</c:v>
                </c:pt>
                <c:pt idx="12" formatCode="#,##0.00\ &quot;€&quot;;[Red]#,##0.00\ &quot;€&quot;">
                  <c:v>577938.45677419356</c:v>
                </c:pt>
                <c:pt idx="14">
                  <c:v>0</c:v>
                </c:pt>
                <c:pt idx="15" formatCode="#,##0.00\ &quot;€&quot;;[Red]#,##0.00\ &quot;€&quot;">
                  <c:v>646351.25441176456</c:v>
                </c:pt>
              </c:numCache>
            </c:numRef>
          </c:val>
          <c:extLst>
            <c:ext xmlns:c16="http://schemas.microsoft.com/office/drawing/2014/chart" uri="{C3380CC4-5D6E-409C-BE32-E72D297353CC}">
              <c16:uniqueId val="{00000007-371C-4B69-AFC3-0C073EC5957E}"/>
            </c:ext>
          </c:extLst>
        </c:ser>
        <c:ser>
          <c:idx val="4"/>
          <c:order val="4"/>
          <c:tx>
            <c:strRef>
              <c:f>Resum!$C$9</c:f>
              <c:strCache>
                <c:ptCount val="1"/>
                <c:pt idx="0">
                  <c:v>Bounded average amount</c:v>
                </c:pt>
              </c:strCache>
            </c:strRef>
          </c:tx>
          <c:spPr>
            <a:solidFill>
              <a:srgbClr val="00B050"/>
            </a:solidFill>
            <a:ln>
              <a:noFill/>
            </a:ln>
            <a:effectLst/>
          </c:spPr>
          <c:invertIfNegative val="0"/>
          <c:dLbls>
            <c:dLbl>
              <c:idx val="0"/>
              <c:layout>
                <c:manualLayout>
                  <c:x val="6.1582229811321824E-2"/>
                  <c:y val="5.6006720806496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71C-4B69-AFC3-0C073EC5957E}"/>
                </c:ext>
              </c:extLst>
            </c:dLbl>
            <c:dLbl>
              <c:idx val="2"/>
              <c:delete val="1"/>
              <c:extLst>
                <c:ext xmlns:c15="http://schemas.microsoft.com/office/drawing/2012/chart" uri="{CE6537A1-D6FC-4f65-9D91-7224C49458BB}"/>
                <c:ext xmlns:c16="http://schemas.microsoft.com/office/drawing/2014/chart" uri="{C3380CC4-5D6E-409C-BE32-E72D297353CC}">
                  <c16:uniqueId val="{00000009-371C-4B69-AFC3-0C073EC5957E}"/>
                </c:ext>
              </c:extLst>
            </c:dLbl>
            <c:dLbl>
              <c:idx val="3"/>
              <c:layout>
                <c:manualLayout>
                  <c:x val="5.2016309416948577E-2"/>
                  <c:y val="2.12825539064682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71C-4B69-AFC3-0C073EC5957E}"/>
                </c:ext>
              </c:extLst>
            </c:dLbl>
            <c:dLbl>
              <c:idx val="5"/>
              <c:delete val="1"/>
              <c:extLst>
                <c:ext xmlns:c15="http://schemas.microsoft.com/office/drawing/2012/chart" uri="{CE6537A1-D6FC-4f65-9D91-7224C49458BB}"/>
                <c:ext xmlns:c16="http://schemas.microsoft.com/office/drawing/2014/chart" uri="{C3380CC4-5D6E-409C-BE32-E72D297353CC}">
                  <c16:uniqueId val="{0000000B-371C-4B69-AFC3-0C073EC5957E}"/>
                </c:ext>
              </c:extLst>
            </c:dLbl>
            <c:dLbl>
              <c:idx val="6"/>
              <c:layout>
                <c:manualLayout>
                  <c:x val="5.9600714596898863E-2"/>
                  <c:y val="5.6006720806496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71C-4B69-AFC3-0C073EC5957E}"/>
                </c:ext>
              </c:extLst>
            </c:dLbl>
            <c:dLbl>
              <c:idx val="8"/>
              <c:delete val="1"/>
              <c:extLst>
                <c:ext xmlns:c15="http://schemas.microsoft.com/office/drawing/2012/chart" uri="{CE6537A1-D6FC-4f65-9D91-7224C49458BB}"/>
                <c:ext xmlns:c16="http://schemas.microsoft.com/office/drawing/2014/chart" uri="{C3380CC4-5D6E-409C-BE32-E72D297353CC}">
                  <c16:uniqueId val="{0000000D-371C-4B69-AFC3-0C073EC5957E}"/>
                </c:ext>
              </c:extLst>
            </c:dLbl>
            <c:dLbl>
              <c:idx val="9"/>
              <c:layout>
                <c:manualLayout>
                  <c:x val="5.5069135203253697E-2"/>
                  <c:y val="1.12013441612993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71C-4B69-AFC3-0C073EC5957E}"/>
                </c:ext>
              </c:extLst>
            </c:dLbl>
            <c:dLbl>
              <c:idx val="11"/>
              <c:delete val="1"/>
              <c:extLst>
                <c:ext xmlns:c15="http://schemas.microsoft.com/office/drawing/2012/chart" uri="{CE6537A1-D6FC-4f65-9D91-7224C49458BB}"/>
                <c:ext xmlns:c16="http://schemas.microsoft.com/office/drawing/2014/chart" uri="{C3380CC4-5D6E-409C-BE32-E72D297353CC}">
                  <c16:uniqueId val="{0000000F-371C-4B69-AFC3-0C073EC5957E}"/>
                </c:ext>
              </c:extLst>
            </c:dLbl>
            <c:dLbl>
              <c:idx val="12"/>
              <c:layout>
                <c:manualLayout>
                  <c:x val="5.3212469774363849E-2"/>
                  <c:y val="2.2402688322598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71C-4B69-AFC3-0C073EC5957E}"/>
                </c:ext>
              </c:extLst>
            </c:dLbl>
            <c:dLbl>
              <c:idx val="14"/>
              <c:delete val="1"/>
              <c:extLst>
                <c:ext xmlns:c15="http://schemas.microsoft.com/office/drawing/2012/chart" uri="{CE6537A1-D6FC-4f65-9D91-7224C49458BB}"/>
                <c:ext xmlns:c16="http://schemas.microsoft.com/office/drawing/2014/chart" uri="{C3380CC4-5D6E-409C-BE32-E72D297353CC}">
                  <c16:uniqueId val="{00000011-371C-4B69-AFC3-0C073EC5957E}"/>
                </c:ext>
              </c:extLst>
            </c:dLbl>
            <c:dLbl>
              <c:idx val="15"/>
              <c:layout>
                <c:manualLayout>
                  <c:x val="-4.10013128232719E-2"/>
                  <c:y val="2.91217308281717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71C-4B69-AFC3-0C073EC5957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Resum!$D$9:$S$9</c:f>
              <c:numCache>
                <c:formatCode>General</c:formatCode>
                <c:ptCount val="16"/>
                <c:pt idx="0" formatCode="#,##0.00\ &quot;€&quot;;[Red]#,##0.00\ &quot;€&quot;">
                  <c:v>146806.86648648645</c:v>
                </c:pt>
                <c:pt idx="2" formatCode="#,##0.00\ &quot;€&quot;;[Red]#,##0.00\ &quot;€&quot;">
                  <c:v>0</c:v>
                </c:pt>
                <c:pt idx="3" formatCode="#,##0.00\ &quot;€&quot;;[Red]#,##0.00\ &quot;€&quot;">
                  <c:v>418967.63866666681</c:v>
                </c:pt>
                <c:pt idx="5">
                  <c:v>0</c:v>
                </c:pt>
                <c:pt idx="6" formatCode="#,##0.00\ &quot;€&quot;;[Red]#,##0.00\ &quot;€&quot;">
                  <c:v>222779.83454545456</c:v>
                </c:pt>
                <c:pt idx="8" formatCode="#,##0.00\ &quot;€&quot;;[Red]#,##0.00\ &quot;€&quot;">
                  <c:v>0</c:v>
                </c:pt>
                <c:pt idx="9" formatCode="#,##0.00\ &quot;€&quot;;[Red]#,##0.00\ &quot;€&quot;">
                  <c:v>227197.06628571419</c:v>
                </c:pt>
                <c:pt idx="11" formatCode="#,##0.00\ &quot;€&quot;;[Red]#,##0.00\ &quot;€&quot;">
                  <c:v>0</c:v>
                </c:pt>
                <c:pt idx="12" formatCode="#,##0.00\ &quot;€&quot;;[Red]#,##0.00\ &quot;€&quot;">
                  <c:v>186965.95148148146</c:v>
                </c:pt>
                <c:pt idx="14">
                  <c:v>0</c:v>
                </c:pt>
                <c:pt idx="15" formatCode="#,##0.00\ &quot;€&quot;;[Red]#,##0.00\ &quot;€&quot;">
                  <c:v>328819.48033333319</c:v>
                </c:pt>
              </c:numCache>
            </c:numRef>
          </c:val>
          <c:extLst>
            <c:ext xmlns:c16="http://schemas.microsoft.com/office/drawing/2014/chart" uri="{C3380CC4-5D6E-409C-BE32-E72D297353CC}">
              <c16:uniqueId val="{00000013-371C-4B69-AFC3-0C073EC5957E}"/>
            </c:ext>
          </c:extLst>
        </c:ser>
        <c:dLbls>
          <c:dLblPos val="outEnd"/>
          <c:showLegendKey val="0"/>
          <c:showVal val="1"/>
          <c:showCatName val="0"/>
          <c:showSerName val="0"/>
          <c:showPercent val="0"/>
          <c:showBubbleSize val="0"/>
        </c:dLbls>
        <c:gapWidth val="219"/>
        <c:overlap val="-27"/>
        <c:axId val="783967999"/>
        <c:axId val="783972319"/>
        <c:extLst>
          <c:ext xmlns:c15="http://schemas.microsoft.com/office/drawing/2012/chart" uri="{02D57815-91ED-43cb-92C2-25804820EDAC}">
            <c15:filteredBarSeries>
              <c15:ser>
                <c:idx val="0"/>
                <c:order val="0"/>
                <c:tx>
                  <c:strRef>
                    <c:extLst>
                      <c:ext uri="{02D57815-91ED-43cb-92C2-25804820EDAC}">
                        <c15:formulaRef>
                          <c15:sqref>Resum!$C$5</c15:sqref>
                        </c15:formulaRef>
                      </c:ext>
                    </c:extLst>
                    <c:strCache>
                      <c:ptCount val="1"/>
                      <c:pt idx="0">
                        <c:v>quantia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c:ext uri="{02D57815-91ED-43cb-92C2-25804820EDAC}">
                        <c15:formulaRef>
                          <c15:sqref>Resum!$D$5:$S$5</c15:sqref>
                        </c15:formulaRef>
                      </c:ext>
                    </c:extLst>
                    <c:numCache>
                      <c:formatCode>General</c:formatCode>
                      <c:ptCount val="16"/>
                      <c:pt idx="0" formatCode="#,##0.00\ &quot;€&quot;;[Red]#,##0.00\ &quot;€&quot;">
                        <c:v>11172183.499999998</c:v>
                      </c:pt>
                      <c:pt idx="2" formatCode="#,##0.00\ &quot;€&quot;;[Red]#,##0.00\ &quot;€&quot;">
                        <c:v>0</c:v>
                      </c:pt>
                      <c:pt idx="3" formatCode="#,##0.00\ &quot;€&quot;;[Red]#,##0.00\ &quot;€&quot;">
                        <c:v>32019876.780000005</c:v>
                      </c:pt>
                      <c:pt idx="5">
                        <c:v>0</c:v>
                      </c:pt>
                      <c:pt idx="6" formatCode="#,##0.00\ &quot;€&quot;;[Red]#,##0.00\ &quot;€&quot;">
                        <c:v>22730636.050000001</c:v>
                      </c:pt>
                      <c:pt idx="8" formatCode="#,##0.00\ &quot;€&quot;;[Red]#,##0.00\ &quot;€&quot;">
                        <c:v>0</c:v>
                      </c:pt>
                      <c:pt idx="9" formatCode="#,##0.00\ &quot;€&quot;;[Red]#,##0.00\ &quot;€&quot;">
                        <c:v>14507624.959999997</c:v>
                      </c:pt>
                      <c:pt idx="11" formatCode="#,##0.00\ &quot;€&quot;;[Red]#,##0.00\ &quot;€&quot;">
                        <c:v>0</c:v>
                      </c:pt>
                      <c:pt idx="12" formatCode="#,##0.00\ &quot;€&quot;;[Red]#,##0.00\ &quot;€&quot;">
                        <c:v>17916092.16</c:v>
                      </c:pt>
                      <c:pt idx="14">
                        <c:v>0</c:v>
                      </c:pt>
                      <c:pt idx="15" formatCode="#,##0.00\ &quot;€&quot;;[Red]#,##0.00\ &quot;€&quot;">
                        <c:v>21975942.649999995</c:v>
                      </c:pt>
                    </c:numCache>
                  </c:numRef>
                </c:val>
                <c:extLst>
                  <c:ext xmlns:c16="http://schemas.microsoft.com/office/drawing/2014/chart" uri="{C3380CC4-5D6E-409C-BE32-E72D297353CC}">
                    <c16:uniqueId val="{00000014-371C-4B69-AFC3-0C073EC5957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Resum!$C$7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Resum!$D$7:$S$7</c15:sqref>
                        </c15:formulaRef>
                      </c:ext>
                    </c:extLst>
                    <c:numCache>
                      <c:formatCode>General</c:formatCode>
                      <c:ptCount val="16"/>
                    </c:numCache>
                  </c:numRef>
                </c:val>
                <c:extLst xmlns:c15="http://schemas.microsoft.com/office/drawing/2012/chart">
                  <c:ext xmlns:c16="http://schemas.microsoft.com/office/drawing/2014/chart" uri="{C3380CC4-5D6E-409C-BE32-E72D297353CC}">
                    <c16:uniqueId val="{00000015-371C-4B69-AFC3-0C073EC5957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Resum!$C$8</c15:sqref>
                        </c15:formulaRef>
                      </c:ext>
                    </c:extLst>
                    <c:strCache>
                      <c:ptCount val="1"/>
                      <c:pt idx="0">
                        <c:v>quantia total acotada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Resum!$D$8:$S$8</c15:sqref>
                        </c15:formulaRef>
                      </c:ext>
                    </c:extLst>
                    <c:numCache>
                      <c:formatCode>General</c:formatCode>
                      <c:ptCount val="16"/>
                      <c:pt idx="0" formatCode="#,##0.00\ &quot;€&quot;;[Red]#,##0.00\ &quot;€&quot;">
                        <c:v>5431854.0599999987</c:v>
                      </c:pt>
                      <c:pt idx="2" formatCode="#,##0.00\ &quot;€&quot;;[Red]#,##0.00\ &quot;€&quot;">
                        <c:v>0</c:v>
                      </c:pt>
                      <c:pt idx="3" formatCode="#,##0.00\ &quot;€&quot;;[Red]#,##0.00\ &quot;€&quot;">
                        <c:v>12569029.160000004</c:v>
                      </c:pt>
                      <c:pt idx="5">
                        <c:v>0</c:v>
                      </c:pt>
                      <c:pt idx="6" formatCode="#,##0.00\ &quot;€&quot;;[Red]#,##0.00\ &quot;€&quot;">
                        <c:v>7351734.540000001</c:v>
                      </c:pt>
                      <c:pt idx="8" formatCode="#,##0.00\ &quot;€&quot;;[Red]#,##0.00\ &quot;€&quot;">
                        <c:v>0</c:v>
                      </c:pt>
                      <c:pt idx="9" formatCode="#,##0.00\ &quot;€&quot;;[Red]#,##0.00\ &quot;€&quot;">
                        <c:v>7951897.3199999966</c:v>
                      </c:pt>
                      <c:pt idx="11" formatCode="#,##0.00\ &quot;€&quot;;[Red]#,##0.00\ &quot;€&quot;">
                        <c:v>0</c:v>
                      </c:pt>
                      <c:pt idx="12" formatCode="#,##0.00\ &quot;€&quot;;[Red]#,##0.00\ &quot;€&quot;">
                        <c:v>5048080.6899999995</c:v>
                      </c:pt>
                      <c:pt idx="14">
                        <c:v>0</c:v>
                      </c:pt>
                      <c:pt idx="15" formatCode="#,##0.00\ &quot;€&quot;;[Red]#,##0.00\ &quot;€&quot;">
                        <c:v>9864584.4099999964</c:v>
                      </c:pt>
                    </c:numCache>
                  </c:numRef>
                </c:val>
                <c:extLst xmlns:c15="http://schemas.microsoft.com/office/drawing/2012/chart">
                  <c:ext xmlns:c16="http://schemas.microsoft.com/office/drawing/2014/chart" uri="{C3380CC4-5D6E-409C-BE32-E72D297353CC}">
                    <c16:uniqueId val="{00000016-371C-4B69-AFC3-0C073EC5957E}"/>
                  </c:ext>
                </c:extLst>
              </c15:ser>
            </c15:filteredBarSeries>
          </c:ext>
        </c:extLst>
      </c:barChart>
      <c:catAx>
        <c:axId val="783967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783972319"/>
        <c:crosses val="autoZero"/>
        <c:auto val="1"/>
        <c:lblAlgn val="ctr"/>
        <c:lblOffset val="100"/>
        <c:noMultiLvlLbl val="0"/>
      </c:catAx>
      <c:valAx>
        <c:axId val="783972319"/>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783967999"/>
        <c:crosses val="autoZero"/>
        <c:crossBetween val="between"/>
      </c:valAx>
      <c:spPr>
        <a:noFill/>
        <a:ln>
          <a:noFill/>
        </a:ln>
        <a:effectLst/>
      </c:spPr>
    </c:plotArea>
    <c:legend>
      <c:legendPos val="b"/>
      <c:layout>
        <c:manualLayout>
          <c:xMode val="edge"/>
          <c:yMode val="edge"/>
          <c:x val="0.33955749961258558"/>
          <c:y val="0.9054879971423343"/>
          <c:w val="0.3208848545807006"/>
          <c:h val="9.4512002857665756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349926150125065"/>
          <c:y val="6.9303212098487693E-2"/>
          <c:w val="0.79302655621677165"/>
          <c:h val="0.86076177977752777"/>
        </c:manualLayout>
      </c:layout>
      <c:barChart>
        <c:barDir val="bar"/>
        <c:grouping val="stacked"/>
        <c:varyColors val="0"/>
        <c:ser>
          <c:idx val="1"/>
          <c:order val="0"/>
          <c:tx>
            <c:strRef>
              <c:f>Durada!$J$20:$J$21</c:f>
              <c:strCache>
                <c:ptCount val="2"/>
                <c:pt idx="1">
                  <c:v>months</c:v>
                </c:pt>
              </c:strCache>
            </c:strRef>
          </c:tx>
          <c:spPr>
            <a:solidFill>
              <a:srgbClr val="008000"/>
            </a:solidFill>
            <a:ln>
              <a:noFill/>
            </a:ln>
            <a:effectLst/>
          </c:spPr>
          <c:invertIfNegative val="0"/>
          <c:dLbls>
            <c:dLbl>
              <c:idx val="1"/>
              <c:layout>
                <c:manualLayout>
                  <c:x val="0.2532085689992975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FD-4E21-AD34-E043CFADE79F}"/>
                </c:ext>
              </c:extLst>
            </c:dLbl>
            <c:dLbl>
              <c:idx val="3"/>
              <c:layout>
                <c:manualLayout>
                  <c:x val="0.398644597242246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FD-4E21-AD34-E043CFADE79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Durada!$G$22:$H$26</c:f>
              <c:multiLvlStrCache>
                <c:ptCount val="4"/>
                <c:lvl>
                  <c:pt idx="1">
                    <c:v>trimmed mean</c:v>
                  </c:pt>
                  <c:pt idx="3">
                    <c:v>trimmed mean</c:v>
                  </c:pt>
                </c:lvl>
                <c:lvl>
                  <c:pt idx="1">
                    <c:v>Pre-arbitration</c:v>
                  </c:pt>
                  <c:pt idx="3">
                    <c:v>Arbitration </c:v>
                  </c:pt>
                </c:lvl>
              </c:multiLvlStrCache>
              <c:extLst/>
            </c:multiLvlStrRef>
          </c:cat>
          <c:val>
            <c:numRef>
              <c:f>Durada!$J$22:$J$26</c:f>
              <c:numCache>
                <c:formatCode>#,##0.0</c:formatCode>
                <c:ptCount val="5"/>
                <c:pt idx="1">
                  <c:v>3.8000000000000007</c:v>
                </c:pt>
                <c:pt idx="3">
                  <c:v>6.4285714285714288</c:v>
                </c:pt>
              </c:numCache>
              <c:extLst/>
            </c:numRef>
          </c:val>
          <c:extLst>
            <c:ext xmlns:c16="http://schemas.microsoft.com/office/drawing/2014/chart" uri="{C3380CC4-5D6E-409C-BE32-E72D297353CC}">
              <c16:uniqueId val="{00000002-A9FD-4E21-AD34-E043CFADE79F}"/>
            </c:ext>
          </c:extLst>
        </c:ser>
        <c:dLbls>
          <c:showLegendKey val="0"/>
          <c:showVal val="0"/>
          <c:showCatName val="0"/>
          <c:showSerName val="0"/>
          <c:showPercent val="0"/>
          <c:showBubbleSize val="0"/>
        </c:dLbls>
        <c:gapWidth val="150"/>
        <c:overlap val="100"/>
        <c:axId val="845224176"/>
        <c:axId val="845221296"/>
      </c:barChart>
      <c:catAx>
        <c:axId val="845224176"/>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845221296"/>
        <c:crosses val="autoZero"/>
        <c:auto val="1"/>
        <c:lblAlgn val="ctr"/>
        <c:lblOffset val="100"/>
        <c:noMultiLvlLbl val="0"/>
      </c:catAx>
      <c:valAx>
        <c:axId val="845221296"/>
        <c:scaling>
          <c:orientation val="minMax"/>
        </c:scaling>
        <c:delete val="1"/>
        <c:axPos val="b"/>
        <c:numFmt formatCode="#,##0.0" sourceLinked="1"/>
        <c:majorTickMark val="none"/>
        <c:minorTickMark val="none"/>
        <c:tickLblPos val="nextTo"/>
        <c:crossAx val="84522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0.38727</cdr:x>
      <cdr:y>0.45324</cdr:y>
    </cdr:from>
    <cdr:to>
      <cdr:x>0.63888</cdr:x>
      <cdr:y>0.61794</cdr:y>
    </cdr:to>
    <cdr:sp macro="" textlink="">
      <cdr:nvSpPr>
        <cdr:cNvPr id="2" name="CuadroTexto 1">
          <a:extLst xmlns:a="http://schemas.openxmlformats.org/drawingml/2006/main">
            <a:ext uri="{FF2B5EF4-FFF2-40B4-BE49-F238E27FC236}">
              <a16:creationId xmlns:a16="http://schemas.microsoft.com/office/drawing/2014/main" id="{219227FB-B733-F2BA-9DA3-1D35CC2FE198}"/>
            </a:ext>
          </a:extLst>
        </cdr:cNvPr>
        <cdr:cNvSpPr txBox="1"/>
      </cdr:nvSpPr>
      <cdr:spPr>
        <a:xfrm xmlns:a="http://schemas.openxmlformats.org/drawingml/2006/main">
          <a:off x="1495425" y="1299450"/>
          <a:ext cx="971550" cy="472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400" b="1" kern="1200">
              <a:latin typeface="Calibri Light" panose="020F0302020204030204" pitchFamily="34" charset="0"/>
              <a:ea typeface="Calibri Light" panose="020F0302020204030204" pitchFamily="34" charset="0"/>
              <a:cs typeface="Calibri Light" panose="020F0302020204030204" pitchFamily="34" charset="0"/>
            </a:rPr>
            <a:t>SUBJECTS</a:t>
          </a:r>
        </a:p>
      </cdr:txBody>
    </cdr:sp>
  </cdr:relSizeAnchor>
</c:userShapes>
</file>

<file path=word/drawings/drawing2.xml><?xml version="1.0" encoding="utf-8"?>
<c:userShapes xmlns:c="http://schemas.openxmlformats.org/drawingml/2006/chart">
  <cdr:relSizeAnchor xmlns:cdr="http://schemas.openxmlformats.org/drawingml/2006/chartDrawing">
    <cdr:from>
      <cdr:x>0.40295</cdr:x>
      <cdr:y>0.51389</cdr:y>
    </cdr:from>
    <cdr:to>
      <cdr:x>0.60549</cdr:x>
      <cdr:y>0.84722</cdr:y>
    </cdr:to>
    <cdr:sp macro="" textlink="">
      <cdr:nvSpPr>
        <cdr:cNvPr id="2" name="Cuadro de texto 1"/>
        <cdr:cNvSpPr txBox="1"/>
      </cdr:nvSpPr>
      <cdr:spPr>
        <a:xfrm xmlns:a="http://schemas.openxmlformats.org/drawingml/2006/main">
          <a:off x="1819275" y="14097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0.39873</cdr:x>
      <cdr:y>0.46875</cdr:y>
    </cdr:from>
    <cdr:to>
      <cdr:x>0.60127</cdr:x>
      <cdr:y>0.80208</cdr:y>
    </cdr:to>
    <cdr:sp macro="" textlink="">
      <cdr:nvSpPr>
        <cdr:cNvPr id="3" name="Cuadro de texto 2"/>
        <cdr:cNvSpPr txBox="1"/>
      </cdr:nvSpPr>
      <cdr:spPr>
        <a:xfrm xmlns:a="http://schemas.openxmlformats.org/drawingml/2006/main">
          <a:off x="1800225" y="12858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0.36422</cdr:x>
      <cdr:y>0.34935</cdr:y>
    </cdr:from>
    <cdr:to>
      <cdr:x>0.63259</cdr:x>
      <cdr:y>0.62009</cdr:y>
    </cdr:to>
    <cdr:sp macro="" textlink="">
      <cdr:nvSpPr>
        <cdr:cNvPr id="4" name="Cuadro de texto 3"/>
        <cdr:cNvSpPr txBox="1"/>
      </cdr:nvSpPr>
      <cdr:spPr>
        <a:xfrm xmlns:a="http://schemas.openxmlformats.org/drawingml/2006/main">
          <a:off x="1085850" y="762001"/>
          <a:ext cx="800099" cy="5905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200" b="1" i="0" kern="1200">
              <a:latin typeface="Calibri Light" panose="020F0302020204030204" pitchFamily="34" charset="0"/>
              <a:ea typeface="Calibri Light" panose="020F0302020204030204" pitchFamily="34" charset="0"/>
              <a:cs typeface="Calibri Light" panose="020F0302020204030204" pitchFamily="34" charset="0"/>
            </a:rPr>
            <a:t>TYPE</a:t>
          </a:r>
          <a:r>
            <a:rPr lang="es-ES" sz="1200" b="1" i="0" kern="1200" baseline="0">
              <a:latin typeface="Calibri Light" panose="020F0302020204030204" pitchFamily="34" charset="0"/>
              <a:ea typeface="Calibri Light" panose="020F0302020204030204" pitchFamily="34" charset="0"/>
              <a:cs typeface="Calibri Light" panose="020F0302020204030204" pitchFamily="34" charset="0"/>
            </a:rPr>
            <a:t> OF </a:t>
          </a:r>
        </a:p>
        <a:p xmlns:a="http://schemas.openxmlformats.org/drawingml/2006/main">
          <a:pPr algn="ctr"/>
          <a:r>
            <a:rPr lang="es-ES" sz="1200" b="1" i="0" kern="1200" baseline="0">
              <a:latin typeface="Calibri Light" panose="020F0302020204030204" pitchFamily="34" charset="0"/>
              <a:ea typeface="Calibri Light" panose="020F0302020204030204" pitchFamily="34" charset="0"/>
              <a:cs typeface="Calibri Light" panose="020F0302020204030204" pitchFamily="34" charset="0"/>
            </a:rPr>
            <a:t>ARBITRATION</a:t>
          </a:r>
          <a:endParaRPr lang="es-ES" sz="1200" b="1" i="0" kern="1200">
            <a:latin typeface="Calibri Light" panose="020F0302020204030204" pitchFamily="34" charset="0"/>
            <a:ea typeface="Calibri Light" panose="020F0302020204030204" pitchFamily="34" charset="0"/>
            <a:cs typeface="Calibri Light" panose="020F03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0.43139</cdr:x>
      <cdr:y>0.47344</cdr:y>
    </cdr:from>
    <cdr:to>
      <cdr:x>0.58905</cdr:x>
      <cdr:y>0.72286</cdr:y>
    </cdr:to>
    <cdr:sp macro="" textlink="">
      <cdr:nvSpPr>
        <cdr:cNvPr id="2" name="CuadroTexto 1">
          <a:extLst xmlns:a="http://schemas.openxmlformats.org/drawingml/2006/main">
            <a:ext uri="{FF2B5EF4-FFF2-40B4-BE49-F238E27FC236}">
              <a16:creationId xmlns:a16="http://schemas.microsoft.com/office/drawing/2014/main" id="{DF3B270F-C8EC-A9CC-2C4B-9248804C3C3F}"/>
            </a:ext>
          </a:extLst>
        </cdr:cNvPr>
        <cdr:cNvSpPr txBox="1"/>
      </cdr:nvSpPr>
      <cdr:spPr>
        <a:xfrm xmlns:a="http://schemas.openxmlformats.org/drawingml/2006/main">
          <a:off x="2501902" y="173566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0.33962</cdr:x>
      <cdr:y>0.3574</cdr:y>
    </cdr:from>
    <cdr:to>
      <cdr:x>0.69182</cdr:x>
      <cdr:y>0.70397</cdr:y>
    </cdr:to>
    <cdr:sp macro="" textlink="">
      <cdr:nvSpPr>
        <cdr:cNvPr id="3" name="CuadroTexto 2">
          <a:extLst xmlns:a="http://schemas.openxmlformats.org/drawingml/2006/main">
            <a:ext uri="{FF2B5EF4-FFF2-40B4-BE49-F238E27FC236}">
              <a16:creationId xmlns:a16="http://schemas.microsoft.com/office/drawing/2014/main" id="{B8D898BD-A83E-37D7-EEBF-23DAD9AAFD68}"/>
            </a:ext>
          </a:extLst>
        </cdr:cNvPr>
        <cdr:cNvSpPr txBox="1"/>
      </cdr:nvSpPr>
      <cdr:spPr>
        <a:xfrm xmlns:a="http://schemas.openxmlformats.org/drawingml/2006/main">
          <a:off x="1028700" y="942975"/>
          <a:ext cx="10668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a:p xmlns:a="http://schemas.openxmlformats.org/drawingml/2006/main">
          <a:pPr algn="ctr"/>
          <a:endParaRPr lang="es-ES" sz="1200" b="1" kern="1200">
            <a:latin typeface="+mj-lt"/>
          </a:endParaRPr>
        </a:p>
        <a:p xmlns:a="http://schemas.openxmlformats.org/drawingml/2006/main">
          <a:pPr algn="ctr"/>
          <a:r>
            <a:rPr lang="es-ES" sz="1200" b="1" kern="1200">
              <a:latin typeface="+mj-lt"/>
            </a:rPr>
            <a:t>  LANGUAGE</a:t>
          </a:r>
        </a:p>
        <a:p xmlns:a="http://schemas.openxmlformats.org/drawingml/2006/main">
          <a:pPr algn="ctr"/>
          <a:endParaRPr lang="es-ES" sz="1200" b="1" kern="1200">
            <a:latin typeface="+mj-lt"/>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0.38447</cdr:x>
      <cdr:y>0.45104</cdr:y>
    </cdr:from>
    <cdr:to>
      <cdr:x>0.56192</cdr:x>
      <cdr:y>0.73591</cdr:y>
    </cdr:to>
    <cdr:sp macro="" textlink="">
      <cdr:nvSpPr>
        <cdr:cNvPr id="2" name="CuadroTexto 1">
          <a:extLst xmlns:a="http://schemas.openxmlformats.org/drawingml/2006/main">
            <a:ext uri="{FF2B5EF4-FFF2-40B4-BE49-F238E27FC236}">
              <a16:creationId xmlns:a16="http://schemas.microsoft.com/office/drawing/2014/main" id="{0788C08E-BDAC-1034-C74E-7E1D49FD6234}"/>
            </a:ext>
          </a:extLst>
        </cdr:cNvPr>
        <cdr:cNvSpPr txBox="1"/>
      </cdr:nvSpPr>
      <cdr:spPr>
        <a:xfrm xmlns:a="http://schemas.openxmlformats.org/drawingml/2006/main">
          <a:off x="1981201" y="1447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0.34377</cdr:x>
      <cdr:y>0.33808</cdr:y>
    </cdr:from>
    <cdr:to>
      <cdr:x>0.59826</cdr:x>
      <cdr:y>0.53447</cdr:y>
    </cdr:to>
    <cdr:sp macro="" textlink="">
      <cdr:nvSpPr>
        <cdr:cNvPr id="3" name="CuadroTexto 2">
          <a:extLst xmlns:a="http://schemas.openxmlformats.org/drawingml/2006/main">
            <a:ext uri="{FF2B5EF4-FFF2-40B4-BE49-F238E27FC236}">
              <a16:creationId xmlns:a16="http://schemas.microsoft.com/office/drawing/2014/main" id="{AD20117D-998C-6A21-0FA4-F015C5105B7C}"/>
            </a:ext>
          </a:extLst>
        </cdr:cNvPr>
        <cdr:cNvSpPr txBox="1"/>
      </cdr:nvSpPr>
      <cdr:spPr>
        <a:xfrm xmlns:a="http://schemas.openxmlformats.org/drawingml/2006/main">
          <a:off x="1241233" y="919901"/>
          <a:ext cx="918865" cy="5343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200" b="1" kern="1200">
            <a:latin typeface="Calibri Light" panose="020F0302020204030204" pitchFamily="34" charset="0"/>
            <a:ea typeface="Calibri Light" panose="020F0302020204030204" pitchFamily="34" charset="0"/>
            <a:cs typeface="Calibri Light" panose="020F0302020204030204" pitchFamily="34" charset="0"/>
          </a:endParaRPr>
        </a:p>
        <a:p xmlns:a="http://schemas.openxmlformats.org/drawingml/2006/main">
          <a:pPr algn="ctr"/>
          <a:r>
            <a:rPr lang="es-ES" sz="1200" b="1" kern="1200">
              <a:latin typeface="Calibri Light" panose="020F0302020204030204" pitchFamily="34" charset="0"/>
              <a:ea typeface="Calibri Light" panose="020F0302020204030204" pitchFamily="34" charset="0"/>
              <a:cs typeface="Calibri Light" panose="020F0302020204030204" pitchFamily="34" charset="0"/>
            </a:rPr>
            <a:t>GENDER</a:t>
          </a:r>
        </a:p>
      </cdr:txBody>
    </cdr:sp>
  </cdr:relSizeAnchor>
  <cdr:relSizeAnchor xmlns:cdr="http://schemas.openxmlformats.org/drawingml/2006/chartDrawing">
    <cdr:from>
      <cdr:x>0.77663</cdr:x>
      <cdr:y>0.52693</cdr:y>
    </cdr:from>
    <cdr:to>
      <cdr:x>0.90645</cdr:x>
      <cdr:y>0.70381</cdr:y>
    </cdr:to>
    <cdr:pic>
      <cdr:nvPicPr>
        <cdr:cNvPr id="5" name="Imagen 4" descr="Silueta de los hombres - Iconos gratis de médico">
          <a:extLst xmlns:a="http://schemas.openxmlformats.org/drawingml/2006/main">
            <a:ext uri="{FF2B5EF4-FFF2-40B4-BE49-F238E27FC236}">
              <a16:creationId xmlns:a16="http://schemas.microsoft.com/office/drawing/2014/main" id="{92816846-1A27-4D30-828E-A0F0CD1D64D2}"/>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duotone>
            <a:schemeClr val="accent6">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899786" y="1430413"/>
          <a:ext cx="484708" cy="480155"/>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0.0693</cdr:x>
      <cdr:y>0.13451</cdr:y>
    </cdr:from>
    <cdr:to>
      <cdr:x>0.20665</cdr:x>
      <cdr:y>0.32056</cdr:y>
    </cdr:to>
    <cdr:pic>
      <cdr:nvPicPr>
        <cdr:cNvPr id="6" name="Imagen 5" descr="Mujer - Iconos gratis de personas">
          <a:extLst xmlns:a="http://schemas.openxmlformats.org/drawingml/2006/main">
            <a:ext uri="{FF2B5EF4-FFF2-40B4-BE49-F238E27FC236}">
              <a16:creationId xmlns:a16="http://schemas.microsoft.com/office/drawing/2014/main" id="{4FCCE4C5-80C0-4F5C-97AA-2C2B3D91A2A4}"/>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2" cstate="print">
          <a:duotone>
            <a:schemeClr val="accent6">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66014" y="345931"/>
          <a:ext cx="527241" cy="478467"/>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drawings/drawing5.xml><?xml version="1.0" encoding="utf-8"?>
<c:userShapes xmlns:c="http://schemas.openxmlformats.org/drawingml/2006/chart">
  <cdr:relSizeAnchor xmlns:cdr="http://schemas.openxmlformats.org/drawingml/2006/chartDrawing">
    <cdr:from>
      <cdr:x>0.39217</cdr:x>
      <cdr:y>0.44444</cdr:y>
    </cdr:from>
    <cdr:to>
      <cdr:x>0.57338</cdr:x>
      <cdr:y>0.67139</cdr:y>
    </cdr:to>
    <cdr:sp macro="" textlink="">
      <cdr:nvSpPr>
        <cdr:cNvPr id="2" name="CuadroTexto 1">
          <a:extLst xmlns:a="http://schemas.openxmlformats.org/drawingml/2006/main">
            <a:ext uri="{FF2B5EF4-FFF2-40B4-BE49-F238E27FC236}">
              <a16:creationId xmlns:a16="http://schemas.microsoft.com/office/drawing/2014/main" id="{1E1411DB-CD3E-C8CD-1B2D-509BE05BF0DB}"/>
            </a:ext>
          </a:extLst>
        </cdr:cNvPr>
        <cdr:cNvSpPr txBox="1"/>
      </cdr:nvSpPr>
      <cdr:spPr>
        <a:xfrm xmlns:a="http://schemas.openxmlformats.org/drawingml/2006/main">
          <a:off x="1978820" y="1790702"/>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0.38084</cdr:x>
      <cdr:y>0.37825</cdr:y>
    </cdr:from>
    <cdr:to>
      <cdr:x>0.62058</cdr:x>
      <cdr:y>0.68558</cdr:y>
    </cdr:to>
    <cdr:sp macro="" textlink="">
      <cdr:nvSpPr>
        <cdr:cNvPr id="3" name="CuadroTexto 2">
          <a:extLst xmlns:a="http://schemas.openxmlformats.org/drawingml/2006/main">
            <a:ext uri="{FF2B5EF4-FFF2-40B4-BE49-F238E27FC236}">
              <a16:creationId xmlns:a16="http://schemas.microsoft.com/office/drawing/2014/main" id="{61E2B562-28DB-3A23-81A8-9C7717F09FD1}"/>
            </a:ext>
          </a:extLst>
        </cdr:cNvPr>
        <cdr:cNvSpPr txBox="1"/>
      </cdr:nvSpPr>
      <cdr:spPr>
        <a:xfrm xmlns:a="http://schemas.openxmlformats.org/drawingml/2006/main">
          <a:off x="1921670" y="1524002"/>
          <a:ext cx="1209675" cy="1238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0.40939</cdr:x>
      <cdr:y>0.38652</cdr:y>
    </cdr:from>
    <cdr:to>
      <cdr:x>0.59061</cdr:x>
      <cdr:y>0.61347</cdr:y>
    </cdr:to>
    <cdr:sp macro="" textlink="">
      <cdr:nvSpPr>
        <cdr:cNvPr id="4" name="CuadroTexto 3">
          <a:extLst xmlns:a="http://schemas.openxmlformats.org/drawingml/2006/main">
            <a:ext uri="{FF2B5EF4-FFF2-40B4-BE49-F238E27FC236}">
              <a16:creationId xmlns:a16="http://schemas.microsoft.com/office/drawing/2014/main" id="{69B816E6-1819-EFD3-B55F-2DBF3BCA47D2}"/>
            </a:ext>
          </a:extLst>
        </cdr:cNvPr>
        <cdr:cNvSpPr txBox="1"/>
      </cdr:nvSpPr>
      <cdr:spPr>
        <a:xfrm xmlns:a="http://schemas.openxmlformats.org/drawingml/2006/main">
          <a:off x="2065735" y="1557338"/>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0.35253</cdr:x>
      <cdr:y>0.38652</cdr:y>
    </cdr:from>
    <cdr:to>
      <cdr:x>0.64512</cdr:x>
      <cdr:y>0.62884</cdr:y>
    </cdr:to>
    <cdr:sp macro="" textlink="">
      <cdr:nvSpPr>
        <cdr:cNvPr id="5" name="CuadroTexto 4">
          <a:extLst xmlns:a="http://schemas.openxmlformats.org/drawingml/2006/main">
            <a:ext uri="{FF2B5EF4-FFF2-40B4-BE49-F238E27FC236}">
              <a16:creationId xmlns:a16="http://schemas.microsoft.com/office/drawing/2014/main" id="{8C0AB56A-2F3F-D604-9158-76D4A7D8E71C}"/>
            </a:ext>
          </a:extLst>
        </cdr:cNvPr>
        <cdr:cNvSpPr txBox="1"/>
      </cdr:nvSpPr>
      <cdr:spPr>
        <a:xfrm xmlns:a="http://schemas.openxmlformats.org/drawingml/2006/main">
          <a:off x="1778796" y="1557338"/>
          <a:ext cx="1476374" cy="9763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0.29673</cdr:x>
      <cdr:y>0.34751</cdr:y>
    </cdr:from>
    <cdr:to>
      <cdr:x>0.6871</cdr:x>
      <cdr:y>0.72997</cdr:y>
    </cdr:to>
    <cdr:sp macro="" textlink="">
      <cdr:nvSpPr>
        <cdr:cNvPr id="6" name="CuadroTexto 5">
          <a:extLst xmlns:a="http://schemas.openxmlformats.org/drawingml/2006/main">
            <a:ext uri="{FF2B5EF4-FFF2-40B4-BE49-F238E27FC236}">
              <a16:creationId xmlns:a16="http://schemas.microsoft.com/office/drawing/2014/main" id="{011BB398-5001-3DA6-B9BE-FCC6948C011B}"/>
            </a:ext>
          </a:extLst>
        </cdr:cNvPr>
        <cdr:cNvSpPr txBox="1"/>
      </cdr:nvSpPr>
      <cdr:spPr>
        <a:xfrm xmlns:a="http://schemas.openxmlformats.org/drawingml/2006/main">
          <a:off x="953607" y="967409"/>
          <a:ext cx="1254546" cy="10647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s-ES" sz="1200" b="1" kern="1200">
            <a:latin typeface="+mj-lt"/>
            <a:ea typeface="+mn-ea"/>
            <a:cs typeface="+mn-cs"/>
          </a:endParaRPr>
        </a:p>
        <a:p xmlns:a="http://schemas.openxmlformats.org/drawingml/2006/main">
          <a:pPr algn="ctr"/>
          <a:r>
            <a:rPr lang="es-ES" sz="1200" b="1" kern="1200">
              <a:latin typeface="+mj-lt"/>
              <a:ea typeface="+mn-ea"/>
              <a:cs typeface="+mn-cs"/>
            </a:rPr>
            <a:t>I</a:t>
          </a:r>
          <a:r>
            <a:rPr lang="es-ES" sz="1200" b="1" kern="1200">
              <a:latin typeface="Calibri Light" panose="020F0302020204030204" pitchFamily="34" charset="0"/>
              <a:ea typeface="Calibri Light" panose="020F0302020204030204" pitchFamily="34" charset="0"/>
              <a:cs typeface="Calibri Light" panose="020F0302020204030204" pitchFamily="34" charset="0"/>
            </a:rPr>
            <a:t>NTERNATIONAL</a:t>
          </a:r>
        </a:p>
        <a:p xmlns:a="http://schemas.openxmlformats.org/drawingml/2006/main">
          <a:pPr algn="ctr"/>
          <a:r>
            <a:rPr lang="es-ES" sz="1200" b="1" kern="1200">
              <a:latin typeface="Calibri Light" panose="020F0302020204030204" pitchFamily="34" charset="0"/>
              <a:ea typeface="Calibri Light" panose="020F0302020204030204" pitchFamily="34" charset="0"/>
              <a:cs typeface="Calibri Light" panose="020F0302020204030204" pitchFamily="34" charset="0"/>
            </a:rPr>
            <a:t>V/</a:t>
          </a:r>
        </a:p>
        <a:p xmlns:a="http://schemas.openxmlformats.org/drawingml/2006/main">
          <a:pPr algn="ctr"/>
          <a:r>
            <a:rPr lang="es-ES" sz="1200" b="1" kern="1200">
              <a:latin typeface="Calibri Light" panose="020F0302020204030204" pitchFamily="34" charset="0"/>
              <a:ea typeface="Calibri Light" panose="020F0302020204030204" pitchFamily="34" charset="0"/>
              <a:cs typeface="Calibri Light" panose="020F0302020204030204" pitchFamily="34" charset="0"/>
            </a:rPr>
            <a:t>DOMESTIC</a:t>
          </a:r>
        </a:p>
      </cdr:txBody>
    </cdr:sp>
  </cdr:relSizeAnchor>
</c:userShapes>
</file>

<file path=word/drawings/drawing6.xml><?xml version="1.0" encoding="utf-8"?>
<c:userShapes xmlns:c="http://schemas.openxmlformats.org/drawingml/2006/chart">
  <cdr:relSizeAnchor xmlns:cdr="http://schemas.openxmlformats.org/drawingml/2006/chartDrawing">
    <cdr:from>
      <cdr:x>0.40664</cdr:x>
      <cdr:y>0.49061</cdr:y>
    </cdr:from>
    <cdr:to>
      <cdr:x>0.54788</cdr:x>
      <cdr:y>0.69663</cdr:y>
    </cdr:to>
    <cdr:sp macro="" textlink="">
      <cdr:nvSpPr>
        <cdr:cNvPr id="2" name="CuadroTexto 1">
          <a:extLst xmlns:a="http://schemas.openxmlformats.org/drawingml/2006/main">
            <a:ext uri="{FF2B5EF4-FFF2-40B4-BE49-F238E27FC236}">
              <a16:creationId xmlns:a16="http://schemas.microsoft.com/office/drawing/2014/main" id="{05A5995B-0817-7AF5-D003-E5CC5C9979CE}"/>
            </a:ext>
          </a:extLst>
        </cdr:cNvPr>
        <cdr:cNvSpPr txBox="1"/>
      </cdr:nvSpPr>
      <cdr:spPr>
        <a:xfrm xmlns:a="http://schemas.openxmlformats.org/drawingml/2006/main">
          <a:off x="2632576" y="217756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0.42825</cdr:x>
      <cdr:y>0.4924</cdr:y>
    </cdr:from>
    <cdr:to>
      <cdr:x>0.64692</cdr:x>
      <cdr:y>0.78419</cdr:y>
    </cdr:to>
    <cdr:sp macro="" textlink="">
      <cdr:nvSpPr>
        <cdr:cNvPr id="3" name="Cuadro de texto 2"/>
        <cdr:cNvSpPr txBox="1"/>
      </cdr:nvSpPr>
      <cdr:spPr>
        <a:xfrm xmlns:a="http://schemas.openxmlformats.org/drawingml/2006/main">
          <a:off x="1790700" y="15430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0.43052</cdr:x>
      <cdr:y>0.4772</cdr:y>
    </cdr:from>
    <cdr:to>
      <cdr:x>0.6492</cdr:x>
      <cdr:y>0.769</cdr:y>
    </cdr:to>
    <cdr:sp macro="" textlink="">
      <cdr:nvSpPr>
        <cdr:cNvPr id="4" name="Cuadro de texto 3"/>
        <cdr:cNvSpPr txBox="1"/>
      </cdr:nvSpPr>
      <cdr:spPr>
        <a:xfrm xmlns:a="http://schemas.openxmlformats.org/drawingml/2006/main">
          <a:off x="1800225" y="14954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0.40297</cdr:x>
      <cdr:y>0.41813</cdr:y>
    </cdr:from>
    <cdr:to>
      <cdr:x>0.62165</cdr:x>
      <cdr:y>0.68257</cdr:y>
    </cdr:to>
    <cdr:sp macro="" textlink="">
      <cdr:nvSpPr>
        <cdr:cNvPr id="5" name="Cuadro de texto 4"/>
        <cdr:cNvSpPr txBox="1"/>
      </cdr:nvSpPr>
      <cdr:spPr>
        <a:xfrm xmlns:a="http://schemas.openxmlformats.org/drawingml/2006/main">
          <a:off x="1685022" y="1310316"/>
          <a:ext cx="914405" cy="8286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100" b="1" kern="1200">
              <a:latin typeface="+mj-lt"/>
            </a:rPr>
            <a:t>AWARD </a:t>
          </a:r>
        </a:p>
        <a:p xmlns:a="http://schemas.openxmlformats.org/drawingml/2006/main">
          <a:pPr algn="ctr"/>
          <a:r>
            <a:rPr lang="es-ES" sz="1100" b="1" kern="1200">
              <a:latin typeface="+mj-lt"/>
            </a:rPr>
            <a:t>COMPLIANCE</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0B65-E087-4D79-802B-C6D916FF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603</Words>
  <Characters>3319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TAB</dc:creator>
  <cp:keywords/>
  <dc:description/>
  <cp:lastModifiedBy>Tab Sala2</cp:lastModifiedBy>
  <cp:revision>16</cp:revision>
  <cp:lastPrinted>2026-03-05T16:13:00Z</cp:lastPrinted>
  <dcterms:created xsi:type="dcterms:W3CDTF">2026-03-04T20:19:00Z</dcterms:created>
  <dcterms:modified xsi:type="dcterms:W3CDTF">2026-03-30T14:05:00Z</dcterms:modified>
</cp:coreProperties>
</file>